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575" w:rsidRPr="00526575" w:rsidRDefault="0031313B" w:rsidP="00E81406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R</w:t>
      </w:r>
      <w:r w:rsidRPr="0031313B">
        <w:rPr>
          <w:b/>
          <w:bCs/>
          <w:sz w:val="24"/>
          <w:szCs w:val="24"/>
        </w:rPr>
        <w:t>eview, reduction or stopping of psychotropic drugs in people with a learning disability, autism or both</w:t>
      </w:r>
    </w:p>
    <w:tbl>
      <w:tblPr>
        <w:tblStyle w:val="TableGrid"/>
        <w:tblW w:w="10916" w:type="dxa"/>
        <w:tblInd w:w="-885" w:type="dxa"/>
        <w:tblLook w:val="04A0" w:firstRow="1" w:lastRow="0" w:firstColumn="1" w:lastColumn="0" w:noHBand="0" w:noVBand="1"/>
      </w:tblPr>
      <w:tblGrid>
        <w:gridCol w:w="10916"/>
      </w:tblGrid>
      <w:tr w:rsidR="002C0BCC" w:rsidTr="00A27E6B">
        <w:tc>
          <w:tcPr>
            <w:tcW w:w="10916" w:type="dxa"/>
          </w:tcPr>
          <w:p w:rsidR="002C0BCC" w:rsidRDefault="002C0BCC" w:rsidP="002C0BCC">
            <w:pPr>
              <w:rPr>
                <w:b/>
                <w:bCs/>
              </w:rPr>
            </w:pPr>
            <w:r>
              <w:rPr>
                <w:b/>
                <w:bCs/>
              </w:rPr>
              <w:t>WHY?</w:t>
            </w:r>
          </w:p>
        </w:tc>
      </w:tr>
      <w:tr w:rsidR="002C0BCC" w:rsidTr="00A27E6B">
        <w:tc>
          <w:tcPr>
            <w:tcW w:w="10916" w:type="dxa"/>
          </w:tcPr>
          <w:p w:rsidR="002C0BCC" w:rsidRPr="00DD056D" w:rsidRDefault="005E7078" w:rsidP="002C0BCC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T</w:t>
            </w:r>
            <w:r w:rsidRPr="005E7078">
              <w:rPr>
                <w:b/>
                <w:bCs/>
                <w:lang w:val="en-US"/>
              </w:rPr>
              <w:t>o improve the quality of life of people with a learning disability</w:t>
            </w:r>
            <w:r w:rsidR="002D12EF">
              <w:rPr>
                <w:b/>
                <w:bCs/>
                <w:lang w:val="en-US"/>
              </w:rPr>
              <w:t xml:space="preserve"> (LD)</w:t>
            </w:r>
            <w:r w:rsidRPr="005E7078">
              <w:rPr>
                <w:b/>
                <w:bCs/>
                <w:lang w:val="en-US"/>
              </w:rPr>
              <w:t>, autism or both by reducing the potential harm of inappropriate psychotropic drugs.</w:t>
            </w:r>
          </w:p>
          <w:p w:rsidR="00DD056D" w:rsidRPr="003018FA" w:rsidRDefault="00942C71" w:rsidP="00942C71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942C71">
              <w:rPr>
                <w:b/>
                <w:bCs/>
              </w:rPr>
              <w:t>Reduce inappropriate psychotro</w:t>
            </w:r>
            <w:r>
              <w:rPr>
                <w:b/>
                <w:bCs/>
              </w:rPr>
              <w:t xml:space="preserve">pic drug usage </w:t>
            </w:r>
            <w:r w:rsidRPr="00942C71">
              <w:rPr>
                <w:b/>
                <w:bCs/>
              </w:rPr>
              <w:t>as ‘chemical restraint’ for controlling behaviour that challenges.</w:t>
            </w:r>
          </w:p>
        </w:tc>
      </w:tr>
      <w:tr w:rsidR="002C0BCC" w:rsidTr="00A27E6B">
        <w:tc>
          <w:tcPr>
            <w:tcW w:w="10916" w:type="dxa"/>
          </w:tcPr>
          <w:p w:rsidR="002C0BCC" w:rsidRDefault="002C0BCC" w:rsidP="002C0BCC">
            <w:pPr>
              <w:rPr>
                <w:b/>
                <w:bCs/>
              </w:rPr>
            </w:pPr>
            <w:r>
              <w:rPr>
                <w:b/>
                <w:bCs/>
              </w:rPr>
              <w:t>WHAT IS THE EVIDENCE?</w:t>
            </w:r>
          </w:p>
        </w:tc>
      </w:tr>
      <w:tr w:rsidR="002C0BCC" w:rsidTr="00A27E6B">
        <w:tc>
          <w:tcPr>
            <w:tcW w:w="10916" w:type="dxa"/>
          </w:tcPr>
          <w:p w:rsidR="008F5E7B" w:rsidRPr="008F5E7B" w:rsidRDefault="008F5E7B" w:rsidP="008F5E7B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8F5E7B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On 14 July 2015, reports were published </w:t>
            </w:r>
            <w:r w:rsidR="005D4455" w:rsidRPr="008F5E7B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highlighting</w:t>
            </w:r>
            <w:r w:rsidR="005D445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hyperlink r:id="rId8" w:history="1">
              <w:r w:rsidRPr="008F5E7B">
                <w:rPr>
                  <w:rStyle w:val="Hyperlink"/>
                  <w:rFonts w:asciiTheme="minorHAnsi" w:hAnsiTheme="minorHAnsi"/>
                  <w:b/>
                  <w:sz w:val="22"/>
                  <w:szCs w:val="22"/>
                  <w:lang w:val="en-US"/>
                </w:rPr>
                <w:t>widespread inappropriate use of antipsychotics and other medicines used to treat mental illness in people with learning disabilities</w:t>
              </w:r>
            </w:hyperlink>
            <w:r w:rsidRPr="008F5E7B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.</w:t>
            </w:r>
          </w:p>
          <w:p w:rsidR="00526575" w:rsidRPr="00942C71" w:rsidRDefault="0071097E" w:rsidP="0071097E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Evidence suggests that a </w:t>
            </w:r>
            <w:r w:rsidR="00B735B5" w:rsidRPr="00B735B5">
              <w:rPr>
                <w:rFonts w:asciiTheme="minorHAnsi" w:hAnsiTheme="minorHAnsi"/>
                <w:b/>
                <w:sz w:val="22"/>
                <w:szCs w:val="22"/>
              </w:rPr>
              <w:t>substantial proportion of people with a learning disability, autism or both who are prescribed psychotropic dr</w:t>
            </w:r>
            <w:r w:rsidR="004C0119">
              <w:rPr>
                <w:rFonts w:asciiTheme="minorHAnsi" w:hAnsiTheme="minorHAnsi"/>
                <w:b/>
                <w:sz w:val="22"/>
                <w:szCs w:val="22"/>
              </w:rPr>
              <w:t>ugs for behavioural purposes could</w:t>
            </w:r>
            <w:r w:rsidR="00B735B5" w:rsidRPr="00B735B5">
              <w:rPr>
                <w:rFonts w:asciiTheme="minorHAnsi" w:hAnsiTheme="minorHAnsi"/>
                <w:b/>
                <w:sz w:val="22"/>
                <w:szCs w:val="22"/>
              </w:rPr>
              <w:t xml:space="preserve"> safely have their drugs reduced or withdrawn.</w:t>
            </w:r>
          </w:p>
          <w:p w:rsidR="00942C71" w:rsidRPr="004C0119" w:rsidRDefault="00942C71" w:rsidP="0071097E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942C71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 xml:space="preserve">There </w:t>
            </w:r>
            <w:r w:rsidR="003305D4" w:rsidRPr="00942C71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are</w:t>
            </w:r>
            <w:r w:rsidRPr="00942C71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 xml:space="preserve"> an estimated number of 60 people with LD in Stockport (1 or 2 per practice) receiving ongoing treatment with psychotropic medicines for challenging </w:t>
            </w:r>
            <w:proofErr w:type="spellStart"/>
            <w:r w:rsidRPr="00942C71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behaviours</w:t>
            </w:r>
            <w:proofErr w:type="spellEnd"/>
            <w:r w:rsidRPr="00942C71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 xml:space="preserve"> who are no longer under the care of an LD specialist. For the patients under the care of the </w:t>
            </w:r>
            <w:r w:rsidR="005C4D70" w:rsidRPr="005C4D70">
              <w:rPr>
                <w:rFonts w:asciiTheme="minorHAnsi" w:hAnsiTheme="minorHAnsi"/>
                <w:b/>
                <w:bCs/>
                <w:sz w:val="22"/>
                <w:szCs w:val="22"/>
              </w:rPr>
              <w:t>the Consultant Psychiatrist for Adults with a Learning Disability</w:t>
            </w:r>
            <w:r w:rsidR="00431D6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it</w:t>
            </w:r>
            <w:r w:rsidR="005C4D70" w:rsidRPr="005C4D70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942C71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has</w:t>
            </w:r>
            <w:r w:rsidR="00431D6E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 xml:space="preserve"> been</w:t>
            </w:r>
            <w:r w:rsidRPr="00942C71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 xml:space="preserve"> confirmed that mechanisms are in place to review use of psychotropic</w:t>
            </w:r>
            <w:r w:rsidR="004935A9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 xml:space="preserve"> medicines</w:t>
            </w:r>
          </w:p>
        </w:tc>
      </w:tr>
      <w:tr w:rsidR="002C0BCC" w:rsidTr="00A27E6B">
        <w:tc>
          <w:tcPr>
            <w:tcW w:w="10916" w:type="dxa"/>
          </w:tcPr>
          <w:p w:rsidR="002C0BCC" w:rsidRDefault="00CF32FF" w:rsidP="002C0BCC">
            <w:pPr>
              <w:rPr>
                <w:b/>
                <w:bCs/>
              </w:rPr>
            </w:pPr>
            <w:r>
              <w:rPr>
                <w:b/>
                <w:bCs/>
              </w:rPr>
              <w:t>WHO?</w:t>
            </w:r>
          </w:p>
        </w:tc>
      </w:tr>
      <w:tr w:rsidR="002C0BCC" w:rsidTr="00A27E6B">
        <w:tc>
          <w:tcPr>
            <w:tcW w:w="10916" w:type="dxa"/>
          </w:tcPr>
          <w:p w:rsidR="002C0BCC" w:rsidRDefault="005C4D70" w:rsidP="002C0BCC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942C71">
              <w:rPr>
                <w:b/>
                <w:bCs/>
              </w:rPr>
              <w:t>eople</w:t>
            </w:r>
            <w:r w:rsidR="003E21E0">
              <w:rPr>
                <w:b/>
                <w:bCs/>
              </w:rPr>
              <w:t xml:space="preserve"> with a READ</w:t>
            </w:r>
            <w:r w:rsidR="00DD056D">
              <w:rPr>
                <w:b/>
                <w:bCs/>
              </w:rPr>
              <w:t xml:space="preserve"> code</w:t>
            </w:r>
            <w:r w:rsidR="008F5E7B">
              <w:rPr>
                <w:b/>
                <w:bCs/>
              </w:rPr>
              <w:t xml:space="preserve"> </w:t>
            </w:r>
            <w:r w:rsidR="00F87A5C">
              <w:rPr>
                <w:b/>
                <w:bCs/>
              </w:rPr>
              <w:t>of</w:t>
            </w:r>
            <w:r w:rsidR="003E21E0">
              <w:rPr>
                <w:b/>
                <w:bCs/>
              </w:rPr>
              <w:t xml:space="preserve"> Learning disability, autism or both </w:t>
            </w:r>
            <w:r w:rsidR="008F5E7B">
              <w:rPr>
                <w:b/>
                <w:bCs/>
              </w:rPr>
              <w:t>currently prescribed a drug from the following class of medicines</w:t>
            </w:r>
            <w:r w:rsidR="00727BD4">
              <w:rPr>
                <w:b/>
                <w:bCs/>
              </w:rPr>
              <w:t xml:space="preserve"> for challenging behaviours</w:t>
            </w:r>
            <w:r w:rsidR="008F5E7B">
              <w:rPr>
                <w:b/>
                <w:bCs/>
              </w:rPr>
              <w:t>:</w:t>
            </w:r>
          </w:p>
          <w:p w:rsidR="008F5E7B" w:rsidRDefault="008F5E7B" w:rsidP="008F5E7B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-antipsychotics; antidepressants; mood stabilizers; anxiolytics and hypnotics (including benzodiazepine</w:t>
            </w:r>
            <w:r w:rsidR="00FF07D2">
              <w:rPr>
                <w:b/>
                <w:bCs/>
              </w:rPr>
              <w:t xml:space="preserve">s); </w:t>
            </w:r>
          </w:p>
          <w:p w:rsidR="00DD056D" w:rsidRPr="00CF32FF" w:rsidRDefault="00395861" w:rsidP="008F5E7B">
            <w:pPr>
              <w:pStyle w:val="ListParagraph"/>
              <w:rPr>
                <w:b/>
                <w:bCs/>
              </w:rPr>
            </w:pPr>
            <w:r w:rsidRPr="00395861">
              <w:rPr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1270</wp:posOffset>
                  </wp:positionV>
                  <wp:extent cx="6029325" cy="2076450"/>
                  <wp:effectExtent l="0" t="0" r="28575" b="19050"/>
                  <wp:wrapTopAndBottom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F32FF" w:rsidTr="00A27E6B">
        <w:tc>
          <w:tcPr>
            <w:tcW w:w="10916" w:type="dxa"/>
          </w:tcPr>
          <w:p w:rsidR="00CF32FF" w:rsidRPr="00CF32FF" w:rsidRDefault="00CF32FF" w:rsidP="00CF32FF">
            <w:pPr>
              <w:rPr>
                <w:b/>
                <w:bCs/>
              </w:rPr>
            </w:pPr>
            <w:r>
              <w:rPr>
                <w:b/>
                <w:bCs/>
              </w:rPr>
              <w:t>HOW?</w:t>
            </w:r>
          </w:p>
        </w:tc>
      </w:tr>
      <w:tr w:rsidR="00CF32FF" w:rsidTr="00A27E6B">
        <w:tc>
          <w:tcPr>
            <w:tcW w:w="10916" w:type="dxa"/>
            <w:shd w:val="clear" w:color="auto" w:fill="FFFFFF" w:themeFill="background1"/>
          </w:tcPr>
          <w:p w:rsidR="00CF32FF" w:rsidRDefault="00B86F41" w:rsidP="00B86F41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Practice based medicine coordinator/CCG </w:t>
            </w:r>
            <w:r w:rsidR="002D12EF">
              <w:rPr>
                <w:b/>
                <w:bCs/>
              </w:rPr>
              <w:t>Medicines Management team</w:t>
            </w:r>
            <w:r>
              <w:rPr>
                <w:b/>
                <w:bCs/>
              </w:rPr>
              <w:t xml:space="preserve"> will search the </w:t>
            </w:r>
            <w:r w:rsidR="00727BD4">
              <w:rPr>
                <w:b/>
                <w:bCs/>
              </w:rPr>
              <w:t>EMIS system</w:t>
            </w:r>
            <w:r>
              <w:rPr>
                <w:b/>
                <w:bCs/>
              </w:rPr>
              <w:t xml:space="preserve"> for patients prescribed a psychotropic</w:t>
            </w:r>
            <w:r w:rsidR="00B643A4">
              <w:rPr>
                <w:b/>
                <w:bCs/>
              </w:rPr>
              <w:t xml:space="preserve"> </w:t>
            </w:r>
            <w:r w:rsidR="00B643A4" w:rsidRPr="00B643A4">
              <w:rPr>
                <w:b/>
                <w:bCs/>
              </w:rPr>
              <w:t>drug</w:t>
            </w:r>
            <w:r>
              <w:rPr>
                <w:b/>
                <w:bCs/>
              </w:rPr>
              <w:t xml:space="preserve"> </w:t>
            </w:r>
            <w:r w:rsidR="00B643A4">
              <w:rPr>
                <w:b/>
                <w:bCs/>
              </w:rPr>
              <w:t xml:space="preserve">for challenging behaviours </w:t>
            </w:r>
            <w:r>
              <w:rPr>
                <w:b/>
                <w:bCs/>
              </w:rPr>
              <w:t>using data collection sheet attached</w:t>
            </w:r>
          </w:p>
          <w:p w:rsidR="00B86F41" w:rsidRDefault="003018FA" w:rsidP="008B63F2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The list of patients will be presented to the </w:t>
            </w:r>
            <w:r w:rsidR="008B63F2">
              <w:rPr>
                <w:b/>
                <w:bCs/>
              </w:rPr>
              <w:t xml:space="preserve">relevant </w:t>
            </w:r>
            <w:r>
              <w:rPr>
                <w:b/>
                <w:bCs/>
              </w:rPr>
              <w:t xml:space="preserve"> GP who will decide on the best course of action (i.e. discuss with patient/carers at the medicines reviews</w:t>
            </w:r>
            <w:r w:rsidR="005D4455">
              <w:rPr>
                <w:b/>
                <w:bCs/>
              </w:rPr>
              <w:t xml:space="preserve"> particularly if</w:t>
            </w:r>
            <w:r w:rsidR="00920865">
              <w:rPr>
                <w:b/>
                <w:bCs/>
              </w:rPr>
              <w:t xml:space="preserve"> the psychotropic has been initiated by the GP</w:t>
            </w:r>
            <w:r w:rsidR="008A401E">
              <w:rPr>
                <w:b/>
                <w:bCs/>
              </w:rPr>
              <w:t>, refer to the</w:t>
            </w:r>
            <w:r w:rsidR="008A401E" w:rsidRPr="008A401E">
              <w:rPr>
                <w:b/>
                <w:bCs/>
              </w:rPr>
              <w:t xml:space="preserve"> Consultant Psychiatrist for Adults with a Learning Disability</w:t>
            </w:r>
            <w:r w:rsidR="00942C71">
              <w:rPr>
                <w:b/>
                <w:bCs/>
              </w:rPr>
              <w:t xml:space="preserve"> where necessary</w:t>
            </w:r>
            <w:r>
              <w:rPr>
                <w:b/>
                <w:bCs/>
              </w:rPr>
              <w:t>)</w:t>
            </w:r>
          </w:p>
        </w:tc>
      </w:tr>
      <w:tr w:rsidR="006328FD" w:rsidTr="00A27E6B">
        <w:tc>
          <w:tcPr>
            <w:tcW w:w="10916" w:type="dxa"/>
            <w:shd w:val="clear" w:color="auto" w:fill="FFFFFF" w:themeFill="background1"/>
          </w:tcPr>
          <w:p w:rsidR="006328FD" w:rsidRDefault="006328FD" w:rsidP="00CF32FF">
            <w:pPr>
              <w:rPr>
                <w:b/>
                <w:bCs/>
              </w:rPr>
            </w:pPr>
            <w:r>
              <w:rPr>
                <w:b/>
                <w:bCs/>
              </w:rPr>
              <w:t>RISKS</w:t>
            </w:r>
          </w:p>
        </w:tc>
      </w:tr>
      <w:tr w:rsidR="006328FD" w:rsidTr="00A27E6B">
        <w:tc>
          <w:tcPr>
            <w:tcW w:w="10916" w:type="dxa"/>
            <w:shd w:val="clear" w:color="auto" w:fill="FFFFFF" w:themeFill="background1"/>
          </w:tcPr>
          <w:p w:rsidR="006328FD" w:rsidRPr="00B643A4" w:rsidRDefault="002D12EF" w:rsidP="00A27E6B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="005D4455">
              <w:rPr>
                <w:b/>
                <w:bCs/>
              </w:rPr>
              <w:t xml:space="preserve">isk </w:t>
            </w:r>
            <w:r>
              <w:rPr>
                <w:b/>
                <w:bCs/>
              </w:rPr>
              <w:t xml:space="preserve">of relapse </w:t>
            </w:r>
            <w:r w:rsidR="005D4455">
              <w:rPr>
                <w:b/>
                <w:bCs/>
              </w:rPr>
              <w:t>needs to be considered</w:t>
            </w:r>
            <w:r>
              <w:rPr>
                <w:b/>
                <w:bCs/>
              </w:rPr>
              <w:t xml:space="preserve"> by clinician formulating the reductions plan on an individual basis</w:t>
            </w:r>
            <w:r w:rsidR="005D4455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="00B643A4">
              <w:rPr>
                <w:b/>
                <w:bCs/>
              </w:rPr>
              <w:t xml:space="preserve"> </w:t>
            </w:r>
            <w:r w:rsidR="00942C71">
              <w:rPr>
                <w:b/>
                <w:bCs/>
              </w:rPr>
              <w:t xml:space="preserve">any </w:t>
            </w:r>
            <w:r w:rsidR="00B643A4">
              <w:rPr>
                <w:b/>
                <w:bCs/>
              </w:rPr>
              <w:t>reduction plan</w:t>
            </w:r>
            <w:r w:rsidR="00573C8A">
              <w:rPr>
                <w:b/>
                <w:bCs/>
              </w:rPr>
              <w:t>s need</w:t>
            </w:r>
            <w:r>
              <w:rPr>
                <w:b/>
                <w:bCs/>
              </w:rPr>
              <w:t>s</w:t>
            </w:r>
            <w:r w:rsidR="00B643A4">
              <w:rPr>
                <w:b/>
                <w:bCs/>
              </w:rPr>
              <w:t xml:space="preserve"> to</w:t>
            </w:r>
            <w:r w:rsidR="005D4455">
              <w:rPr>
                <w:b/>
                <w:bCs/>
              </w:rPr>
              <w:t xml:space="preserve"> be documented</w:t>
            </w:r>
            <w:r w:rsidR="00A27E6B">
              <w:rPr>
                <w:b/>
                <w:bCs/>
              </w:rPr>
              <w:t xml:space="preserve"> including</w:t>
            </w:r>
            <w:r w:rsidR="00B643A4">
              <w:rPr>
                <w:b/>
                <w:bCs/>
              </w:rPr>
              <w:t xml:space="preserve"> </w:t>
            </w:r>
            <w:r w:rsidR="005D4455">
              <w:rPr>
                <w:b/>
                <w:bCs/>
              </w:rPr>
              <w:t>any</w:t>
            </w:r>
            <w:r w:rsidR="00A27E6B">
              <w:rPr>
                <w:b/>
                <w:bCs/>
              </w:rPr>
              <w:t xml:space="preserve"> support </w:t>
            </w:r>
            <w:r w:rsidR="00A05589">
              <w:rPr>
                <w:b/>
                <w:bCs/>
              </w:rPr>
              <w:t xml:space="preserve">for patient/carer </w:t>
            </w:r>
            <w:r w:rsidR="00A27E6B">
              <w:rPr>
                <w:b/>
                <w:bCs/>
              </w:rPr>
              <w:t>put in place, any</w:t>
            </w:r>
            <w:r w:rsidR="005D4455">
              <w:rPr>
                <w:b/>
                <w:bCs/>
              </w:rPr>
              <w:t xml:space="preserve"> </w:t>
            </w:r>
            <w:r w:rsidR="00A27E6B">
              <w:rPr>
                <w:b/>
                <w:bCs/>
              </w:rPr>
              <w:t xml:space="preserve">planned future </w:t>
            </w:r>
            <w:r w:rsidR="00B643A4">
              <w:rPr>
                <w:b/>
                <w:bCs/>
              </w:rPr>
              <w:t>monitoring</w:t>
            </w:r>
            <w:r w:rsidR="00A27E6B">
              <w:rPr>
                <w:b/>
                <w:bCs/>
              </w:rPr>
              <w:t xml:space="preserve">/ </w:t>
            </w:r>
            <w:r w:rsidR="00A27E6B" w:rsidRPr="00A27E6B">
              <w:rPr>
                <w:b/>
                <w:bCs/>
              </w:rPr>
              <w:t>reassess</w:t>
            </w:r>
            <w:r w:rsidR="00A05589">
              <w:rPr>
                <w:b/>
                <w:bCs/>
              </w:rPr>
              <w:t>ment of</w:t>
            </w:r>
            <w:r w:rsidR="00A27E6B" w:rsidRPr="00A27E6B">
              <w:rPr>
                <w:b/>
                <w:bCs/>
              </w:rPr>
              <w:t xml:space="preserve"> the behaviour that challenges and consider</w:t>
            </w:r>
            <w:r w:rsidR="00EE362A">
              <w:rPr>
                <w:b/>
                <w:bCs/>
              </w:rPr>
              <w:t>ation for</w:t>
            </w:r>
            <w:r w:rsidR="004935A9">
              <w:rPr>
                <w:b/>
                <w:bCs/>
              </w:rPr>
              <w:t xml:space="preserve"> any </w:t>
            </w:r>
            <w:r w:rsidR="00A27E6B" w:rsidRPr="00A27E6B">
              <w:rPr>
                <w:b/>
                <w:bCs/>
              </w:rPr>
              <w:t>psychological or environmental interventions</w:t>
            </w:r>
            <w:r w:rsidR="00EE362A">
              <w:rPr>
                <w:b/>
                <w:bCs/>
              </w:rPr>
              <w:t>, where needed</w:t>
            </w:r>
          </w:p>
        </w:tc>
      </w:tr>
      <w:tr w:rsidR="00CE19DA" w:rsidTr="00A27E6B">
        <w:tc>
          <w:tcPr>
            <w:tcW w:w="10916" w:type="dxa"/>
            <w:shd w:val="clear" w:color="auto" w:fill="FFFFFF" w:themeFill="background1"/>
          </w:tcPr>
          <w:p w:rsidR="00CE19DA" w:rsidRDefault="00E75176" w:rsidP="00CF32FF">
            <w:pPr>
              <w:rPr>
                <w:b/>
                <w:bCs/>
              </w:rPr>
            </w:pPr>
            <w:r>
              <w:rPr>
                <w:b/>
                <w:bCs/>
              </w:rPr>
              <w:t>FURTHER  INFORMATION</w:t>
            </w:r>
          </w:p>
        </w:tc>
      </w:tr>
      <w:tr w:rsidR="00A23C4E" w:rsidTr="00A27E6B">
        <w:tc>
          <w:tcPr>
            <w:tcW w:w="10916" w:type="dxa"/>
            <w:shd w:val="clear" w:color="auto" w:fill="FFFFFF" w:themeFill="background1"/>
          </w:tcPr>
          <w:p w:rsidR="002D12EF" w:rsidRPr="004935A9" w:rsidRDefault="00F32970" w:rsidP="004935A9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hyperlink r:id="rId10" w:history="1">
              <w:r w:rsidR="002D12EF" w:rsidRPr="004935A9">
                <w:rPr>
                  <w:rStyle w:val="Hyperlink"/>
                  <w:b/>
                  <w:bCs/>
                </w:rPr>
                <w:t>The toolkit</w:t>
              </w:r>
            </w:hyperlink>
            <w:r w:rsidR="002D12EF" w:rsidRPr="002D12EF">
              <w:rPr>
                <w:b/>
                <w:bCs/>
              </w:rPr>
              <w:t xml:space="preserve"> </w:t>
            </w:r>
            <w:r w:rsidR="004935A9">
              <w:rPr>
                <w:b/>
                <w:bCs/>
              </w:rPr>
              <w:t>for GP prescribers</w:t>
            </w:r>
            <w:r w:rsidR="002D12EF" w:rsidRPr="002D12EF">
              <w:rPr>
                <w:b/>
                <w:bCs/>
              </w:rPr>
              <w:t>– Stopping Over-Medication of People with</w:t>
            </w:r>
            <w:r w:rsidR="004935A9">
              <w:rPr>
                <w:b/>
                <w:bCs/>
              </w:rPr>
              <w:t xml:space="preserve"> a Learning Disability (STOMP)</w:t>
            </w:r>
          </w:p>
          <w:p w:rsidR="00A23C4E" w:rsidRPr="00B643A4" w:rsidRDefault="002D12EF" w:rsidP="002D12EF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2D12EF">
              <w:rPr>
                <w:b/>
                <w:bCs/>
              </w:rPr>
              <w:t>The Royal C</w:t>
            </w:r>
            <w:r w:rsidR="004935A9">
              <w:rPr>
                <w:b/>
                <w:bCs/>
              </w:rPr>
              <w:t>ollege of Psychiatrists has</w:t>
            </w:r>
            <w:r w:rsidRPr="002D12EF">
              <w:rPr>
                <w:b/>
                <w:bCs/>
              </w:rPr>
              <w:t xml:space="preserve"> produce a Faculty Report with practice </w:t>
            </w:r>
            <w:hyperlink r:id="rId11" w:history="1">
              <w:r w:rsidRPr="004935A9">
                <w:rPr>
                  <w:rStyle w:val="Hyperlink"/>
                  <w:b/>
                  <w:bCs/>
                </w:rPr>
                <w:t>guidelines on psychotropic drug prescribing</w:t>
              </w:r>
            </w:hyperlink>
          </w:p>
        </w:tc>
      </w:tr>
    </w:tbl>
    <w:p w:rsidR="00294DFF" w:rsidRPr="002C0BCC" w:rsidRDefault="00294DFF" w:rsidP="002C0BCC"/>
    <w:sectPr w:rsidR="00294DFF" w:rsidRPr="002C0BCC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540" w:rsidRDefault="00F27540" w:rsidP="00D351CF">
      <w:pPr>
        <w:spacing w:after="0" w:line="240" w:lineRule="auto"/>
      </w:pPr>
      <w:r>
        <w:separator/>
      </w:r>
    </w:p>
  </w:endnote>
  <w:endnote w:type="continuationSeparator" w:id="0">
    <w:p w:rsidR="00F27540" w:rsidRDefault="00F27540" w:rsidP="00D35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1CF" w:rsidRDefault="00D351CF">
    <w:pPr>
      <w:pStyle w:val="Footer"/>
    </w:pPr>
    <w:r>
      <w:t xml:space="preserve">Prepared by Ana Cervinschi                                                                         </w:t>
    </w:r>
    <w:r w:rsidR="001A3586">
      <w:t xml:space="preserve">                          November</w:t>
    </w:r>
    <w:r>
      <w:t xml:space="preserve"> 2017</w:t>
    </w:r>
  </w:p>
  <w:p w:rsidR="00D351CF" w:rsidRDefault="00D351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540" w:rsidRDefault="00F27540" w:rsidP="00D351CF">
      <w:pPr>
        <w:spacing w:after="0" w:line="240" w:lineRule="auto"/>
      </w:pPr>
      <w:r>
        <w:separator/>
      </w:r>
    </w:p>
  </w:footnote>
  <w:footnote w:type="continuationSeparator" w:id="0">
    <w:p w:rsidR="00F27540" w:rsidRDefault="00F27540" w:rsidP="00D35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66D67"/>
    <w:multiLevelType w:val="hybridMultilevel"/>
    <w:tmpl w:val="CAA80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62055"/>
    <w:multiLevelType w:val="hybridMultilevel"/>
    <w:tmpl w:val="294E2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E2F85"/>
    <w:multiLevelType w:val="hybridMultilevel"/>
    <w:tmpl w:val="0114A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296AA3"/>
    <w:multiLevelType w:val="hybridMultilevel"/>
    <w:tmpl w:val="60889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3A2926"/>
    <w:multiLevelType w:val="hybridMultilevel"/>
    <w:tmpl w:val="931C0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B5"/>
    <w:rsid w:val="00007F5D"/>
    <w:rsid w:val="000925A3"/>
    <w:rsid w:val="001A3586"/>
    <w:rsid w:val="002112A3"/>
    <w:rsid w:val="00283246"/>
    <w:rsid w:val="00294DFF"/>
    <w:rsid w:val="002C0BCC"/>
    <w:rsid w:val="002C2DCE"/>
    <w:rsid w:val="002D12EF"/>
    <w:rsid w:val="002F581B"/>
    <w:rsid w:val="003018FA"/>
    <w:rsid w:val="0031313B"/>
    <w:rsid w:val="003305D4"/>
    <w:rsid w:val="00346958"/>
    <w:rsid w:val="00395861"/>
    <w:rsid w:val="003E21E0"/>
    <w:rsid w:val="00431D6E"/>
    <w:rsid w:val="004935A9"/>
    <w:rsid w:val="004C0119"/>
    <w:rsid w:val="00526575"/>
    <w:rsid w:val="0057273A"/>
    <w:rsid w:val="00573C8A"/>
    <w:rsid w:val="00585521"/>
    <w:rsid w:val="005C4D70"/>
    <w:rsid w:val="005C58B5"/>
    <w:rsid w:val="005D4455"/>
    <w:rsid w:val="005E7078"/>
    <w:rsid w:val="006328FD"/>
    <w:rsid w:val="0065071E"/>
    <w:rsid w:val="00682FFC"/>
    <w:rsid w:val="006B48FD"/>
    <w:rsid w:val="006D3735"/>
    <w:rsid w:val="006E5DBA"/>
    <w:rsid w:val="006F543E"/>
    <w:rsid w:val="0071097E"/>
    <w:rsid w:val="00727BD4"/>
    <w:rsid w:val="0075450D"/>
    <w:rsid w:val="007A60CB"/>
    <w:rsid w:val="00880B26"/>
    <w:rsid w:val="008A401E"/>
    <w:rsid w:val="008B63F2"/>
    <w:rsid w:val="008D31AE"/>
    <w:rsid w:val="008E3AC1"/>
    <w:rsid w:val="008F5E7B"/>
    <w:rsid w:val="00920865"/>
    <w:rsid w:val="00942C71"/>
    <w:rsid w:val="0097436A"/>
    <w:rsid w:val="00A05589"/>
    <w:rsid w:val="00A23C4E"/>
    <w:rsid w:val="00A27E6B"/>
    <w:rsid w:val="00AE2279"/>
    <w:rsid w:val="00AF3373"/>
    <w:rsid w:val="00B643A4"/>
    <w:rsid w:val="00B735B5"/>
    <w:rsid w:val="00B86F41"/>
    <w:rsid w:val="00BA3084"/>
    <w:rsid w:val="00BB0844"/>
    <w:rsid w:val="00C70A47"/>
    <w:rsid w:val="00CE19DA"/>
    <w:rsid w:val="00CF32FF"/>
    <w:rsid w:val="00CF6CE4"/>
    <w:rsid w:val="00D16227"/>
    <w:rsid w:val="00D351CF"/>
    <w:rsid w:val="00D52FFA"/>
    <w:rsid w:val="00DC14F2"/>
    <w:rsid w:val="00DD056D"/>
    <w:rsid w:val="00E70267"/>
    <w:rsid w:val="00E75176"/>
    <w:rsid w:val="00E81406"/>
    <w:rsid w:val="00EA635F"/>
    <w:rsid w:val="00EB05A7"/>
    <w:rsid w:val="00EE362A"/>
    <w:rsid w:val="00F27540"/>
    <w:rsid w:val="00F32970"/>
    <w:rsid w:val="00F87A5C"/>
    <w:rsid w:val="00FE1A99"/>
    <w:rsid w:val="00FF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0B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C0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0B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51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1CF"/>
  </w:style>
  <w:style w:type="paragraph" w:styleId="Footer">
    <w:name w:val="footer"/>
    <w:basedOn w:val="Normal"/>
    <w:link w:val="FooterChar"/>
    <w:uiPriority w:val="99"/>
    <w:unhideWhenUsed/>
    <w:rsid w:val="00D351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1CF"/>
  </w:style>
  <w:style w:type="paragraph" w:styleId="BalloonText">
    <w:name w:val="Balloon Text"/>
    <w:basedOn w:val="Normal"/>
    <w:link w:val="BalloonTextChar"/>
    <w:uiPriority w:val="99"/>
    <w:semiHidden/>
    <w:unhideWhenUsed/>
    <w:rsid w:val="00D3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1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F5E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E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E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E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E7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0B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C0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0B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51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1CF"/>
  </w:style>
  <w:style w:type="paragraph" w:styleId="Footer">
    <w:name w:val="footer"/>
    <w:basedOn w:val="Normal"/>
    <w:link w:val="FooterChar"/>
    <w:uiPriority w:val="99"/>
    <w:unhideWhenUsed/>
    <w:rsid w:val="00D351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1CF"/>
  </w:style>
  <w:style w:type="paragraph" w:styleId="BalloonText">
    <w:name w:val="Balloon Text"/>
    <w:basedOn w:val="Normal"/>
    <w:link w:val="BalloonTextChar"/>
    <w:uiPriority w:val="99"/>
    <w:semiHidden/>
    <w:unhideWhenUsed/>
    <w:rsid w:val="00D3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1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F5E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E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E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E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E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3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and.nhs.uk/2015/07/14/urgent-pledge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cpsych.ac.uk/pdf/FR_ID_09_for_website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ngland.nhs.uk/publication/stopping-over-medication-of-people-with-a-learning-disability-autism-or-both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/>
            </a:pPr>
            <a:r>
              <a:rPr lang="en-GB" sz="1000" dirty="0" smtClean="0"/>
              <a:t>LD population in Stockport~1520</a:t>
            </a:r>
            <a:endParaRPr lang="en-GB" sz="1000" dirty="0"/>
          </a:p>
        </c:rich>
      </c:tx>
      <c:layout>
        <c:manualLayout>
          <c:xMode val="edge"/>
          <c:yMode val="edge"/>
          <c:x val="0.31788532362308464"/>
          <c:y val="0.8501529051987767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"/>
          <c:y val="0"/>
          <c:w val="0.8791012093602032"/>
          <c:h val="0.78873261546318529"/>
        </c:manualLayout>
      </c:layout>
      <c:ofPieChart>
        <c:ofPieType val="bar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ln>
              <a:solidFill>
                <a:schemeClr val="accent4">
                  <a:lumMod val="75000"/>
                </a:schemeClr>
              </a:solidFill>
            </a:ln>
            <a:effectLst>
              <a:outerShdw blurRad="50800" dist="38100" dir="5400000" algn="t" rotWithShape="0">
                <a:prstClr val="black">
                  <a:alpha val="40000"/>
                </a:prstClr>
              </a:outerShdw>
            </a:effectLst>
          </c:spPr>
          <c:explosion val="13"/>
          <c:dPt>
            <c:idx val="0"/>
            <c:bubble3D val="0"/>
            <c:spPr>
              <a:ln w="57150">
                <a:noFill/>
              </a:ln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</c:spPr>
          </c:dPt>
          <c:dPt>
            <c:idx val="1"/>
            <c:bubble3D val="0"/>
            <c:spPr>
              <a:pattFill prst="ltDnDiag">
                <a:fgClr>
                  <a:schemeClr val="accent1"/>
                </a:fgClr>
                <a:bgClr>
                  <a:schemeClr val="bg1"/>
                </a:bgClr>
              </a:pattFill>
              <a:ln w="57150">
                <a:solidFill>
                  <a:schemeClr val="accent4">
                    <a:lumMod val="75000"/>
                  </a:schemeClr>
                </a:solidFill>
              </a:ln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</c:spPr>
          </c:dPt>
          <c:dPt>
            <c:idx val="4"/>
            <c:bubble3D val="0"/>
            <c:spPr>
              <a:pattFill prst="ltDnDiag">
                <a:fgClr>
                  <a:schemeClr val="accent1"/>
                </a:fgClr>
                <a:bgClr>
                  <a:schemeClr val="bg1"/>
                </a:bgClr>
              </a:pattFill>
              <a:ln w="76200">
                <a:solidFill>
                  <a:schemeClr val="accent4">
                    <a:lumMod val="75000"/>
                  </a:schemeClr>
                </a:solidFill>
              </a:ln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800" smtClean="0"/>
                      <a:t>LD population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2831573831048898"/>
                  <c:y val="0.11416950833901668"/>
                </c:manualLayout>
              </c:layout>
              <c:tx>
                <c:rich>
                  <a:bodyPr/>
                  <a:lstStyle/>
                  <a:p>
                    <a:r>
                      <a:rPr lang="en-US" sz="800" smtClean="0"/>
                      <a:t>On pshychotropic medicines</a:t>
                    </a:r>
                    <a:endParaRPr lang="en-US" sz="900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5538431213884826"/>
                  <c:y val="1.632786727347155E-2"/>
                </c:manualLayout>
              </c:layout>
              <c:tx>
                <c:rich>
                  <a:bodyPr/>
                  <a:lstStyle/>
                  <a:p>
                    <a:r>
                      <a:rPr lang="en-US" sz="800" dirty="0" smtClean="0"/>
                      <a:t>Under the care of the LD specialist</a:t>
                    </a:r>
                    <a:endParaRPr lang="en-US" sz="1000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5643812310022512"/>
                  <c:y val="2.8689831202292432E-2"/>
                </c:manualLayout>
              </c:layout>
              <c:tx>
                <c:rich>
                  <a:bodyPr/>
                  <a:lstStyle/>
                  <a:p>
                    <a:r>
                      <a:rPr lang="en-US" sz="800" dirty="0" smtClean="0"/>
                      <a:t>Under</a:t>
                    </a:r>
                    <a:r>
                      <a:rPr lang="en-US" sz="800" baseline="0" dirty="0" smtClean="0"/>
                      <a:t> the care of their GP</a:t>
                    </a:r>
                    <a:endParaRPr lang="en-US" sz="1000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1558567545604842"/>
                  <c:y val="2.2476517082929102E-2"/>
                </c:manualLayout>
              </c:layout>
              <c:tx>
                <c:rich>
                  <a:bodyPr/>
                  <a:lstStyle/>
                  <a:p>
                    <a:r>
                      <a:rPr lang="en-US" sz="800" baseline="0" dirty="0" smtClean="0"/>
                      <a:t>for challenging </a:t>
                    </a:r>
                    <a:r>
                      <a:rPr lang="en-US" sz="800" baseline="0" dirty="0" err="1" smtClean="0"/>
                      <a:t>behaviours</a:t>
                    </a:r>
                    <a:endParaRPr lang="en-US" sz="900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</c:spPr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1st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1.4</c:v>
                </c:pt>
                <c:pt idx="2">
                  <c:v>0.2</c:v>
                </c:pt>
                <c:pt idx="3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gapWidth val="100"/>
        <c:secondPieSize val="75"/>
        <c:serLines/>
      </c:ofPieChart>
    </c:plotArea>
    <c:plotVisOnly val="1"/>
    <c:dispBlanksAs val="gap"/>
    <c:showDLblsOverMax val="0"/>
  </c:chart>
  <c:txPr>
    <a:bodyPr/>
    <a:lstStyle/>
    <a:p>
      <a:pPr>
        <a:defRPr sz="1800"/>
      </a:pPr>
      <a:endParaRPr lang="en-US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0.65174</cdr:x>
      <cdr:y>0.31193</cdr:y>
    </cdr:from>
    <cdr:to>
      <cdr:x>0.8704</cdr:x>
      <cdr:y>0.63023</cdr:y>
    </cdr:to>
    <cdr:cxnSp macro="">
      <cdr:nvCxnSpPr>
        <cdr:cNvPr id="3" name="Straight Arrow Connector 2"/>
        <cdr:cNvCxnSpPr/>
      </cdr:nvCxnSpPr>
      <cdr:spPr>
        <a:xfrm xmlns:a="http://schemas.openxmlformats.org/drawingml/2006/main" flipH="1">
          <a:off x="3929551" y="647700"/>
          <a:ext cx="1318348" cy="660938"/>
        </a:xfrm>
        <a:prstGeom xmlns:a="http://schemas.openxmlformats.org/drawingml/2006/main" prst="straightConnector1">
          <a:avLst/>
        </a:prstGeom>
        <a:ln xmlns:a="http://schemas.openxmlformats.org/drawingml/2006/main" w="57150">
          <a:solidFill>
            <a:srgbClr val="0070C0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0.83274</cdr:x>
      <cdr:y>0.08309</cdr:y>
    </cdr:from>
    <cdr:to>
      <cdr:x>1</cdr:x>
      <cdr:y>0.3189</cdr:y>
    </cdr:to>
    <cdr:sp macro="" textlink="">
      <cdr:nvSpPr>
        <cdr:cNvPr id="7" name="Oval 6"/>
        <cdr:cNvSpPr/>
      </cdr:nvSpPr>
      <cdr:spPr>
        <a:xfrm xmlns:a="http://schemas.openxmlformats.org/drawingml/2006/main">
          <a:off x="4283199" y="201035"/>
          <a:ext cx="860301" cy="570490"/>
        </a:xfrm>
        <a:prstGeom xmlns:a="http://schemas.openxmlformats.org/drawingml/2006/main" prst="ellipse">
          <a:avLst/>
        </a:prstGeom>
        <a:solidFill xmlns:a="http://schemas.openxmlformats.org/drawingml/2006/main">
          <a:schemeClr val="bg1"/>
        </a:solidFill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en-US" sz="800" dirty="0" smtClean="0">
              <a:solidFill>
                <a:schemeClr val="tx1"/>
              </a:solidFill>
            </a:rPr>
            <a:t>These peope!!</a:t>
          </a:r>
          <a:endParaRPr lang="en-US" sz="800" dirty="0">
            <a:solidFill>
              <a:schemeClr val="tx1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Ana-Maria Cervinschi</dc:creator>
  <cp:lastModifiedBy>A.Cervinschi</cp:lastModifiedBy>
  <cp:revision>2</cp:revision>
  <dcterms:created xsi:type="dcterms:W3CDTF">2017-12-01T13:22:00Z</dcterms:created>
  <dcterms:modified xsi:type="dcterms:W3CDTF">2017-12-01T13:22:00Z</dcterms:modified>
</cp:coreProperties>
</file>