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7BFFA" w14:textId="77777777" w:rsidR="0073375D" w:rsidRDefault="0073375D" w:rsidP="00AF1C34">
      <w:pPr>
        <w:rPr>
          <w:rFonts w:ascii="Arial" w:hAnsi="Arial" w:cs="Arial"/>
          <w:b/>
          <w:noProof/>
          <w:sz w:val="28"/>
          <w:szCs w:val="28"/>
          <w:lang w:val="en-GB" w:eastAsia="en-GB"/>
        </w:rPr>
      </w:pPr>
    </w:p>
    <w:p w14:paraId="546CB635" w14:textId="77777777" w:rsidR="00461274" w:rsidRDefault="00461274" w:rsidP="00AF1C34">
      <w:pPr>
        <w:rPr>
          <w:rFonts w:ascii="Arial" w:hAnsi="Arial" w:cs="Arial"/>
          <w:b/>
          <w:sz w:val="26"/>
          <w:szCs w:val="26"/>
        </w:rPr>
      </w:pPr>
      <w:r w:rsidRPr="00461274">
        <w:rPr>
          <w:rFonts w:ascii="Arial" w:hAnsi="Arial" w:cs="Arial"/>
          <w:b/>
          <w:noProof/>
          <w:sz w:val="28"/>
          <w:szCs w:val="28"/>
          <w:lang w:val="en-GB" w:eastAsia="en-GB"/>
        </w:rPr>
        <w:drawing>
          <wp:anchor distT="0" distB="0" distL="114300" distR="114300" simplePos="0" relativeHeight="251658240" behindDoc="0" locked="0" layoutInCell="1" allowOverlap="1" wp14:anchorId="0C0F5BC6" wp14:editId="44407A8B">
            <wp:simplePos x="0" y="0"/>
            <wp:positionH relativeFrom="column">
              <wp:posOffset>4886960</wp:posOffset>
            </wp:positionH>
            <wp:positionV relativeFrom="paragraph">
              <wp:posOffset>41275</wp:posOffset>
            </wp:positionV>
            <wp:extent cx="1828800" cy="581025"/>
            <wp:effectExtent l="0" t="0" r="0" b="9525"/>
            <wp:wrapSquare wrapText="bothSides"/>
            <wp:docPr id="2" name="Picture 2"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CCG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6E7AB" w14:textId="77777777" w:rsidR="00461274" w:rsidRDefault="00461274" w:rsidP="00AF1C34">
      <w:pPr>
        <w:rPr>
          <w:rFonts w:ascii="Arial" w:hAnsi="Arial" w:cs="Arial"/>
          <w:b/>
          <w:sz w:val="28"/>
          <w:szCs w:val="28"/>
        </w:rPr>
      </w:pPr>
    </w:p>
    <w:p w14:paraId="5D4271D9" w14:textId="77777777" w:rsidR="00482DAC" w:rsidRDefault="00482DAC" w:rsidP="00AF1C34">
      <w:pPr>
        <w:rPr>
          <w:rFonts w:ascii="Arial" w:hAnsi="Arial" w:cs="Arial"/>
          <w:b/>
          <w:sz w:val="28"/>
          <w:szCs w:val="28"/>
        </w:rPr>
      </w:pPr>
    </w:p>
    <w:p w14:paraId="59166CCB" w14:textId="77777777" w:rsidR="0073375D" w:rsidRPr="00C64E7C" w:rsidRDefault="0073375D" w:rsidP="0073375D">
      <w:pPr>
        <w:rPr>
          <w:rFonts w:ascii="Arial" w:hAnsi="Arial" w:cs="Arial"/>
          <w:b/>
        </w:rPr>
      </w:pPr>
      <w:r w:rsidRPr="00C64E7C">
        <w:rPr>
          <w:rFonts w:ascii="Arial" w:hAnsi="Arial" w:cs="Arial"/>
          <w:b/>
          <w:sz w:val="28"/>
          <w:szCs w:val="28"/>
        </w:rPr>
        <w:t>Stockport CCG prescribing restriction lists</w:t>
      </w:r>
    </w:p>
    <w:p w14:paraId="4C589537" w14:textId="77777777" w:rsidR="0073375D" w:rsidRPr="00C64E7C" w:rsidRDefault="0073375D" w:rsidP="0073375D">
      <w:pPr>
        <w:rPr>
          <w:rFonts w:ascii="Arial" w:hAnsi="Arial" w:cs="Arial"/>
          <w:b/>
          <w:sz w:val="12"/>
          <w:szCs w:val="12"/>
        </w:rPr>
      </w:pPr>
    </w:p>
    <w:p w14:paraId="7D614747" w14:textId="77777777" w:rsidR="0073375D" w:rsidRPr="00C64E7C" w:rsidRDefault="0073375D" w:rsidP="0073375D">
      <w:pPr>
        <w:jc w:val="both"/>
        <w:rPr>
          <w:rFonts w:ascii="Arial" w:hAnsi="Arial" w:cs="Arial"/>
          <w:sz w:val="22"/>
          <w:szCs w:val="22"/>
        </w:rPr>
      </w:pPr>
      <w:r w:rsidRPr="00C64E7C">
        <w:rPr>
          <w:rFonts w:ascii="Arial" w:hAnsi="Arial" w:cs="Arial"/>
          <w:sz w:val="22"/>
          <w:szCs w:val="22"/>
        </w:rPr>
        <w:t>The Stockport CCG Black and Grey Listing prevents prescribing of drugs deemed to be less suitable for prescribing due to safety, efficacy or of poor value for the NHS in line with the criteria used nationally.</w:t>
      </w:r>
    </w:p>
    <w:p w14:paraId="17F86901" w14:textId="77777777" w:rsidR="0073375D" w:rsidRPr="00C64E7C" w:rsidRDefault="0073375D" w:rsidP="0073375D">
      <w:pPr>
        <w:jc w:val="both"/>
        <w:rPr>
          <w:rFonts w:ascii="Arial" w:hAnsi="Arial" w:cs="Arial"/>
          <w:sz w:val="12"/>
          <w:szCs w:val="12"/>
        </w:rPr>
      </w:pPr>
    </w:p>
    <w:p w14:paraId="2FE108BB" w14:textId="52FBD432" w:rsidR="0073375D" w:rsidRDefault="0073375D" w:rsidP="0073375D">
      <w:pPr>
        <w:jc w:val="both"/>
        <w:rPr>
          <w:rFonts w:ascii="Arial" w:hAnsi="Arial" w:cs="Arial"/>
          <w:sz w:val="22"/>
          <w:szCs w:val="22"/>
        </w:rPr>
      </w:pPr>
      <w:r w:rsidRPr="00C64E7C">
        <w:rPr>
          <w:rFonts w:ascii="Arial" w:hAnsi="Arial" w:cs="Arial"/>
          <w:sz w:val="22"/>
          <w:szCs w:val="22"/>
        </w:rPr>
        <w:t>Any product can be nominated for considered for listing by NHS Stockport clinicians or CCG staff. Products added to the Do Not Prescribe list produced by the GMMMG Formulary Group will automatically be added. Product considered by GMMMG for the Do Not Prescribe or grey list at a GM level will be reviewed locally, in case there is a different position locally. Amendments to the list can also be requested on this form</w:t>
      </w:r>
      <w:r w:rsidR="00D94F92">
        <w:rPr>
          <w:rFonts w:ascii="Arial" w:hAnsi="Arial" w:cs="Arial"/>
          <w:sz w:val="22"/>
          <w:szCs w:val="22"/>
        </w:rPr>
        <w:t>.</w:t>
      </w:r>
    </w:p>
    <w:p w14:paraId="2208678C" w14:textId="4D08581E" w:rsidR="00D94F92" w:rsidRDefault="00D94F92" w:rsidP="0073375D">
      <w:pPr>
        <w:jc w:val="both"/>
        <w:rPr>
          <w:rFonts w:ascii="Arial" w:hAnsi="Arial" w:cs="Arial"/>
          <w:sz w:val="22"/>
          <w:szCs w:val="22"/>
        </w:rPr>
      </w:pPr>
    </w:p>
    <w:p w14:paraId="5429505D" w14:textId="766CC9E0" w:rsidR="00D94F92" w:rsidRDefault="00D94F92" w:rsidP="0073375D">
      <w:pPr>
        <w:jc w:val="both"/>
        <w:rPr>
          <w:rFonts w:ascii="Arial" w:hAnsi="Arial" w:cs="Arial"/>
          <w:sz w:val="22"/>
          <w:szCs w:val="22"/>
        </w:rPr>
      </w:pPr>
      <w:r>
        <w:rPr>
          <w:rFonts w:ascii="Arial" w:hAnsi="Arial" w:cs="Arial"/>
          <w:sz w:val="22"/>
          <w:szCs w:val="22"/>
        </w:rPr>
        <w:t xml:space="preserve">Please send completed forms to: </w:t>
      </w:r>
      <w:hyperlink r:id="rId9" w:history="1">
        <w:r w:rsidRPr="009851F1">
          <w:rPr>
            <w:rStyle w:val="Hyperlink"/>
            <w:rFonts w:ascii="Arial" w:hAnsi="Arial" w:cs="Arial"/>
            <w:sz w:val="22"/>
            <w:szCs w:val="22"/>
          </w:rPr>
          <w:t>STOCCG.medsopadmin@nhs.net</w:t>
        </w:r>
      </w:hyperlink>
    </w:p>
    <w:p w14:paraId="6718BEB4" w14:textId="46898D96" w:rsidR="0073375D" w:rsidRDefault="0073375D" w:rsidP="0073375D">
      <w:pPr>
        <w:jc w:val="both"/>
        <w:rPr>
          <w:rFonts w:ascii="Arial" w:hAnsi="Arial" w:cs="Arial"/>
          <w:sz w:val="12"/>
          <w:szCs w:val="12"/>
        </w:rPr>
      </w:pPr>
    </w:p>
    <w:p w14:paraId="26098D09" w14:textId="57744811" w:rsidR="00D94F92" w:rsidRDefault="00D94F92" w:rsidP="0073375D">
      <w:pPr>
        <w:jc w:val="both"/>
        <w:rPr>
          <w:rFonts w:ascii="Arial" w:hAnsi="Arial" w:cs="Arial"/>
          <w:sz w:val="12"/>
          <w:szCs w:val="12"/>
        </w:rPr>
      </w:pPr>
    </w:p>
    <w:p w14:paraId="22FD9E0D" w14:textId="77777777" w:rsidR="00D94F92" w:rsidRPr="00C64E7C" w:rsidRDefault="00D94F92" w:rsidP="0073375D">
      <w:pPr>
        <w:jc w:val="both"/>
        <w:rPr>
          <w:rFonts w:ascii="Arial" w:hAnsi="Arial" w:cs="Arial"/>
          <w:sz w:val="12"/>
          <w:szCs w:val="12"/>
        </w:rPr>
      </w:pPr>
    </w:p>
    <w:p w14:paraId="3B58F840" w14:textId="77777777" w:rsidR="0073375D" w:rsidRPr="00C64E7C" w:rsidRDefault="0073375D" w:rsidP="0073375D">
      <w:pPr>
        <w:rPr>
          <w:rFonts w:ascii="Arial" w:hAnsi="Arial" w:cs="Arial"/>
          <w:sz w:val="12"/>
          <w:szCs w:val="12"/>
        </w:rPr>
      </w:pPr>
      <w:r w:rsidRPr="00C64E7C">
        <w:rPr>
          <w:rFonts w:ascii="Arial" w:hAnsi="Arial" w:cs="Arial"/>
          <w:sz w:val="22"/>
          <w:szCs w:val="22"/>
        </w:rPr>
        <w:t xml:space="preserve">Name of product(s) to be considered:   </w:t>
      </w:r>
    </w:p>
    <w:p w14:paraId="5F388890" w14:textId="77777777" w:rsidR="0073375D" w:rsidRPr="00C64E7C" w:rsidRDefault="0073375D" w:rsidP="0073375D">
      <w:pPr>
        <w:rPr>
          <w:rFonts w:ascii="Arial" w:hAnsi="Arial" w:cs="Arial"/>
          <w:sz w:val="22"/>
          <w:szCs w:val="22"/>
        </w:rPr>
      </w:pPr>
      <w:r w:rsidRPr="00C64E7C">
        <w:rPr>
          <w:rFonts w:ascii="Arial" w:hAnsi="Arial" w:cs="Arial"/>
          <w:sz w:val="22"/>
          <w:szCs w:val="22"/>
        </w:rPr>
        <w:t>Reason for product nomination/ entry amendment (</w:t>
      </w:r>
      <w:r w:rsidRPr="00C64E7C">
        <w:rPr>
          <w:rFonts w:ascii="Arial" w:hAnsi="Arial" w:cs="Arial"/>
          <w:i/>
          <w:sz w:val="22"/>
          <w:szCs w:val="22"/>
        </w:rPr>
        <w:t>attach additional evidence if necessary</w:t>
      </w:r>
      <w:r w:rsidRPr="00C64E7C">
        <w:rPr>
          <w:rFonts w:ascii="Arial" w:hAnsi="Arial" w:cs="Arial"/>
          <w:sz w:val="22"/>
          <w:szCs w:val="22"/>
        </w:rPr>
        <w:t>):</w:t>
      </w:r>
    </w:p>
    <w:p w14:paraId="5840AFA1" w14:textId="77777777" w:rsidR="0073375D" w:rsidRPr="00C64E7C" w:rsidRDefault="0073375D" w:rsidP="0073375D">
      <w:pPr>
        <w:rPr>
          <w:rFonts w:ascii="Arial" w:hAnsi="Arial" w:cs="Arial"/>
          <w:sz w:val="22"/>
          <w:szCs w:val="22"/>
        </w:rPr>
      </w:pPr>
    </w:p>
    <w:p w14:paraId="449E97E4" w14:textId="77777777" w:rsidR="0073375D" w:rsidRPr="00C64E7C" w:rsidRDefault="0073375D" w:rsidP="0073375D">
      <w:pPr>
        <w:spacing w:before="120" w:after="120"/>
        <w:jc w:val="both"/>
        <w:rPr>
          <w:rFonts w:ascii="Arial" w:hAnsi="Arial" w:cs="Arial"/>
          <w:b/>
          <w:sz w:val="22"/>
          <w:szCs w:val="22"/>
          <w:u w:val="single"/>
        </w:rPr>
      </w:pPr>
      <w:r w:rsidRPr="00C64E7C">
        <w:rPr>
          <w:rFonts w:ascii="Arial" w:hAnsi="Arial" w:cs="Arial"/>
          <w:b/>
          <w:sz w:val="22"/>
          <w:szCs w:val="22"/>
          <w:u w:val="single"/>
        </w:rPr>
        <w:t xml:space="preserve">Criteria for Inclusion on the </w:t>
      </w:r>
      <w:r w:rsidR="00642211" w:rsidRPr="00C64E7C">
        <w:rPr>
          <w:rFonts w:ascii="Arial" w:hAnsi="Arial" w:cs="Arial"/>
          <w:b/>
          <w:sz w:val="22"/>
          <w:szCs w:val="22"/>
          <w:u w:val="single"/>
        </w:rPr>
        <w:t>Stockport restricted</w:t>
      </w:r>
      <w:r w:rsidRPr="00C64E7C">
        <w:rPr>
          <w:rFonts w:ascii="Arial" w:hAnsi="Arial" w:cs="Arial"/>
          <w:b/>
          <w:sz w:val="22"/>
          <w:szCs w:val="22"/>
          <w:u w:val="single"/>
        </w:rPr>
        <w:t xml:space="preserve"> prescribing lists</w:t>
      </w:r>
    </w:p>
    <w:p w14:paraId="1335EEF5" w14:textId="77777777" w:rsidR="0073375D" w:rsidRPr="00C64E7C" w:rsidRDefault="0073375D" w:rsidP="0073375D">
      <w:pPr>
        <w:numPr>
          <w:ilvl w:val="0"/>
          <w:numId w:val="2"/>
        </w:numPr>
        <w:autoSpaceDE w:val="0"/>
        <w:autoSpaceDN w:val="0"/>
        <w:spacing w:after="76"/>
        <w:rPr>
          <w:rFonts w:ascii="Arial" w:eastAsia="Calibri" w:hAnsi="Arial" w:cs="Arial"/>
          <w:sz w:val="22"/>
          <w:szCs w:val="22"/>
          <w:lang w:val="en-GB" w:eastAsia="en-GB"/>
        </w:rPr>
      </w:pPr>
      <w:r w:rsidRPr="00C64E7C">
        <w:rPr>
          <w:rFonts w:ascii="Arial" w:eastAsia="Calibri" w:hAnsi="Arial" w:cs="Arial"/>
          <w:sz w:val="22"/>
          <w:szCs w:val="22"/>
          <w:lang w:val="en-GB" w:eastAsia="en-GB"/>
        </w:rPr>
        <w:t xml:space="preserve">Products of low clinical effectiveness, where there is a lack of robust evidence of clinical effectiveness or there are significant safety concerns; </w:t>
      </w:r>
    </w:p>
    <w:p w14:paraId="171CDA6A" w14:textId="77777777" w:rsidR="0073375D" w:rsidRPr="00C64E7C" w:rsidRDefault="0073375D" w:rsidP="0073375D">
      <w:pPr>
        <w:numPr>
          <w:ilvl w:val="0"/>
          <w:numId w:val="2"/>
        </w:numPr>
        <w:autoSpaceDE w:val="0"/>
        <w:autoSpaceDN w:val="0"/>
        <w:spacing w:after="76"/>
        <w:rPr>
          <w:rFonts w:ascii="Arial" w:eastAsia="Calibri" w:hAnsi="Arial" w:cs="Arial"/>
          <w:sz w:val="22"/>
          <w:szCs w:val="22"/>
          <w:lang w:val="en-GB" w:eastAsia="en-GB"/>
        </w:rPr>
      </w:pPr>
      <w:r w:rsidRPr="00C64E7C">
        <w:rPr>
          <w:rFonts w:ascii="Arial" w:eastAsia="Calibri" w:hAnsi="Arial" w:cs="Arial"/>
          <w:sz w:val="22"/>
          <w:szCs w:val="22"/>
          <w:lang w:val="en-GB" w:eastAsia="en-GB"/>
        </w:rPr>
        <w:t xml:space="preserve">Products which are clinically effective but where more cost-effective products are available, including products that have been subject to excessive price inflation; or </w:t>
      </w:r>
    </w:p>
    <w:p w14:paraId="48F3CAD5" w14:textId="77777777" w:rsidR="0073375D" w:rsidRPr="00C64E7C" w:rsidRDefault="0073375D" w:rsidP="0073375D">
      <w:pPr>
        <w:numPr>
          <w:ilvl w:val="0"/>
          <w:numId w:val="2"/>
        </w:numPr>
        <w:autoSpaceDE w:val="0"/>
        <w:autoSpaceDN w:val="0"/>
        <w:spacing w:after="76"/>
        <w:rPr>
          <w:rFonts w:ascii="Arial" w:eastAsia="Calibri" w:hAnsi="Arial" w:cs="Arial"/>
          <w:sz w:val="22"/>
          <w:szCs w:val="22"/>
          <w:lang w:val="en-GB" w:eastAsia="en-GB"/>
        </w:rPr>
      </w:pPr>
      <w:r w:rsidRPr="00C64E7C">
        <w:rPr>
          <w:rFonts w:ascii="Arial" w:eastAsia="Calibri" w:hAnsi="Arial" w:cs="Arial"/>
          <w:sz w:val="22"/>
          <w:szCs w:val="22"/>
          <w:lang w:val="en-GB" w:eastAsia="en-GB"/>
        </w:rPr>
        <w:t xml:space="preserve">Products which are clinically effective but, due to the nature of the product, are deemed a low priority for NHS funding. </w:t>
      </w:r>
    </w:p>
    <w:p w14:paraId="4BB91B4E" w14:textId="77777777" w:rsidR="0073375D" w:rsidRDefault="00642211" w:rsidP="0073375D">
      <w:pPr>
        <w:numPr>
          <w:ilvl w:val="0"/>
          <w:numId w:val="2"/>
        </w:numPr>
        <w:autoSpaceDE w:val="0"/>
        <w:autoSpaceDN w:val="0"/>
        <w:spacing w:after="76"/>
        <w:rPr>
          <w:rFonts w:ascii="Arial" w:eastAsia="Calibri" w:hAnsi="Arial" w:cs="Arial"/>
          <w:sz w:val="22"/>
          <w:szCs w:val="22"/>
          <w:lang w:val="en-GB" w:eastAsia="en-GB"/>
        </w:rPr>
      </w:pPr>
      <w:r w:rsidRPr="00C64E7C">
        <w:rPr>
          <w:rFonts w:ascii="Arial" w:eastAsia="Calibri" w:hAnsi="Arial" w:cs="Arial"/>
          <w:sz w:val="22"/>
          <w:szCs w:val="22"/>
          <w:lang w:val="en-GB" w:eastAsia="en-GB"/>
        </w:rPr>
        <w:t>T</w:t>
      </w:r>
      <w:r>
        <w:rPr>
          <w:rFonts w:ascii="Arial" w:eastAsia="Calibri" w:hAnsi="Arial" w:cs="Arial"/>
          <w:sz w:val="22"/>
          <w:szCs w:val="22"/>
          <w:lang w:val="en-GB" w:eastAsia="en-GB"/>
        </w:rPr>
        <w:t>here is</w:t>
      </w:r>
      <w:r w:rsidRPr="00C64E7C">
        <w:rPr>
          <w:rFonts w:ascii="Arial" w:eastAsia="Calibri" w:hAnsi="Arial" w:cs="Arial"/>
          <w:sz w:val="22"/>
          <w:szCs w:val="22"/>
          <w:lang w:val="en-GB" w:eastAsia="en-GB"/>
        </w:rPr>
        <w:t xml:space="preserve"> only a narrow, defined place for use of the drug/ preparation. (</w:t>
      </w:r>
      <w:r w:rsidR="0073375D" w:rsidRPr="00C64E7C">
        <w:rPr>
          <w:rFonts w:ascii="Arial" w:eastAsia="Calibri" w:hAnsi="Arial" w:cs="Arial"/>
          <w:sz w:val="22"/>
          <w:szCs w:val="22"/>
          <w:lang w:val="en-GB" w:eastAsia="en-GB"/>
        </w:rPr>
        <w:t>Such drugs will be grey listed to allow use within this defined situation). The specified situation suggested is</w:t>
      </w:r>
    </w:p>
    <w:p w14:paraId="17595595" w14:textId="77777777" w:rsidR="00D02542" w:rsidRDefault="00D02542" w:rsidP="00D02542">
      <w:pPr>
        <w:autoSpaceDE w:val="0"/>
        <w:autoSpaceDN w:val="0"/>
        <w:spacing w:after="76"/>
        <w:rPr>
          <w:rFonts w:ascii="Arial" w:eastAsia="Calibri" w:hAnsi="Arial" w:cs="Arial"/>
          <w:sz w:val="22"/>
          <w:szCs w:val="22"/>
          <w:lang w:val="en-GB" w:eastAsia="en-GB"/>
        </w:rPr>
      </w:pPr>
    </w:p>
    <w:p w14:paraId="5934EB3A" w14:textId="77777777" w:rsidR="00D02542" w:rsidRDefault="00D02542" w:rsidP="00D02542">
      <w:pPr>
        <w:autoSpaceDE w:val="0"/>
        <w:autoSpaceDN w:val="0"/>
        <w:spacing w:after="76"/>
        <w:rPr>
          <w:rFonts w:ascii="Arial" w:eastAsia="Calibri" w:hAnsi="Arial" w:cs="Arial"/>
          <w:sz w:val="22"/>
          <w:szCs w:val="22"/>
          <w:lang w:val="en-GB" w:eastAsia="en-GB"/>
        </w:rPr>
      </w:pPr>
    </w:p>
    <w:p w14:paraId="5E30EF74" w14:textId="77777777" w:rsidR="00EE4194" w:rsidRPr="00C64E7C" w:rsidRDefault="00EE4194" w:rsidP="00D02542">
      <w:pPr>
        <w:autoSpaceDE w:val="0"/>
        <w:autoSpaceDN w:val="0"/>
        <w:spacing w:after="76"/>
        <w:rPr>
          <w:rFonts w:ascii="Arial" w:eastAsia="Calibri" w:hAnsi="Arial" w:cs="Arial"/>
          <w:sz w:val="22"/>
          <w:szCs w:val="22"/>
          <w:lang w:val="en-GB" w:eastAsia="en-GB"/>
        </w:rPr>
      </w:pPr>
    </w:p>
    <w:p w14:paraId="165F17C0" w14:textId="77777777" w:rsidR="0073375D" w:rsidRPr="00C64E7C" w:rsidRDefault="0073375D" w:rsidP="0073375D">
      <w:pPr>
        <w:spacing w:before="120"/>
        <w:jc w:val="both"/>
        <w:rPr>
          <w:rFonts w:ascii="Arial" w:hAnsi="Arial" w:cs="Arial"/>
          <w:bCs/>
          <w:iCs/>
          <w:sz w:val="16"/>
          <w:szCs w:val="16"/>
          <w:lang w:eastAsia="en-GB"/>
        </w:rPr>
      </w:pPr>
      <w:r w:rsidRPr="00C64E7C">
        <w:rPr>
          <w:rFonts w:ascii="Arial" w:hAnsi="Arial" w:cs="Arial"/>
          <w:sz w:val="16"/>
          <w:szCs w:val="16"/>
        </w:rPr>
        <w:t xml:space="preserve">* Whilst prescribers should think very carefully before prescribing or recommending any of the DNP products, there may be exceptional instances when the use of one of these products is necessary for a particular patient. </w:t>
      </w:r>
      <w:r w:rsidRPr="00C64E7C">
        <w:rPr>
          <w:rFonts w:ascii="Arial" w:hAnsi="Arial" w:cs="Arial"/>
          <w:bCs/>
          <w:iCs/>
          <w:sz w:val="16"/>
          <w:szCs w:val="16"/>
          <w:lang w:eastAsia="en-GB"/>
        </w:rPr>
        <w:t>A patient may be deemed exceptional if the patient has a clinical picture that is significantly different to the general population of patients with that condition and as a result of that difference the patient is likely to derive greater benefit from the intervention than might normally be expected for patients with that condition. Before prescribing clinicians should seek approval to prescribe from the CCG to ensure the CCG agrees the exceptionality and approves prescribing outside of the policy</w:t>
      </w:r>
    </w:p>
    <w:p w14:paraId="591ED5B9" w14:textId="77777777" w:rsidR="0073375D" w:rsidRPr="00C64E7C" w:rsidRDefault="0073375D" w:rsidP="0073375D">
      <w:pPr>
        <w:spacing w:before="120"/>
        <w:jc w:val="both"/>
        <w:rPr>
          <w:rFonts w:ascii="Arial" w:hAnsi="Arial" w:cs="Arial"/>
          <w:bCs/>
          <w:iCs/>
          <w:sz w:val="16"/>
          <w:szCs w:val="16"/>
          <w:lang w:eastAsia="en-GB"/>
        </w:rPr>
      </w:pPr>
    </w:p>
    <w:p w14:paraId="0EFA0429"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 xml:space="preserve">Suggested Criteria for listing or change of </w:t>
      </w:r>
      <w:r w:rsidR="00642211" w:rsidRPr="00C64E7C">
        <w:rPr>
          <w:rFonts w:ascii="Arial" w:hAnsi="Arial" w:cs="Arial"/>
          <w:sz w:val="22"/>
          <w:szCs w:val="22"/>
        </w:rPr>
        <w:t>listing 1</w:t>
      </w:r>
      <w:r w:rsidRPr="00C64E7C">
        <w:rPr>
          <w:rFonts w:ascii="Arial" w:hAnsi="Arial" w:cs="Arial"/>
          <w:sz w:val="22"/>
          <w:szCs w:val="22"/>
        </w:rPr>
        <w:t xml:space="preserve"> / 2 / 3 / 4 (grey list) </w:t>
      </w:r>
      <w:r w:rsidRPr="00C64E7C">
        <w:rPr>
          <w:rFonts w:ascii="Arial" w:hAnsi="Arial" w:cs="Arial"/>
          <w:sz w:val="22"/>
          <w:szCs w:val="22"/>
        </w:rPr>
        <w:tab/>
      </w:r>
      <w:r w:rsidRPr="00C64E7C">
        <w:rPr>
          <w:rFonts w:ascii="Arial" w:hAnsi="Arial" w:cs="Arial"/>
          <w:sz w:val="22"/>
          <w:szCs w:val="22"/>
        </w:rPr>
        <w:tab/>
      </w:r>
    </w:p>
    <w:p w14:paraId="287E463A"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Approval process applicable: GMMMG listed / Brand multiplier (3x) / Pre-existing policy</w:t>
      </w:r>
      <w:r>
        <w:rPr>
          <w:rFonts w:ascii="Arial" w:hAnsi="Arial" w:cs="Arial"/>
          <w:sz w:val="22"/>
          <w:szCs w:val="22"/>
        </w:rPr>
        <w:t xml:space="preserve"> (automatic)</w:t>
      </w:r>
    </w:p>
    <w:p w14:paraId="0F58F4CB" w14:textId="77777777" w:rsidR="0073375D" w:rsidRDefault="0073375D" w:rsidP="0073375D">
      <w:pPr>
        <w:spacing w:after="120"/>
        <w:jc w:val="both"/>
        <w:rPr>
          <w:rFonts w:ascii="Arial" w:hAnsi="Arial" w:cs="Arial"/>
          <w:sz w:val="22"/>
          <w:szCs w:val="22"/>
        </w:rPr>
      </w:pPr>
      <w:r>
        <w:rPr>
          <w:rFonts w:ascii="Arial" w:hAnsi="Arial" w:cs="Arial"/>
          <w:sz w:val="22"/>
          <w:szCs w:val="22"/>
        </w:rPr>
        <w:t>Panel decision</w:t>
      </w:r>
      <w:r w:rsidR="00642211">
        <w:rPr>
          <w:rFonts w:ascii="Arial" w:hAnsi="Arial" w:cs="Arial"/>
          <w:sz w:val="22"/>
          <w:szCs w:val="22"/>
        </w:rPr>
        <w:t xml:space="preserve"> (</w:t>
      </w:r>
      <w:r>
        <w:rPr>
          <w:rFonts w:ascii="Arial" w:hAnsi="Arial" w:cs="Arial"/>
          <w:sz w:val="22"/>
          <w:szCs w:val="22"/>
        </w:rPr>
        <w:t>other than the above)</w:t>
      </w:r>
    </w:p>
    <w:p w14:paraId="62B3BB6D"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Date considered</w:t>
      </w:r>
    </w:p>
    <w:p w14:paraId="242A40D5" w14:textId="77777777" w:rsidR="0073375D" w:rsidRPr="00C64E7C" w:rsidRDefault="0073375D" w:rsidP="0073375D">
      <w:pPr>
        <w:spacing w:after="120"/>
        <w:jc w:val="both"/>
        <w:rPr>
          <w:rFonts w:ascii="Arial" w:hAnsi="Arial" w:cs="Arial"/>
          <w:sz w:val="22"/>
          <w:szCs w:val="22"/>
        </w:rPr>
      </w:pPr>
    </w:p>
    <w:p w14:paraId="0405E501"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 xml:space="preserve">Decision </w:t>
      </w:r>
    </w:p>
    <w:p w14:paraId="712EFE9F"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Approved for Black Listing</w:t>
      </w:r>
      <w:r w:rsidRPr="00C64E7C">
        <w:rPr>
          <w:rFonts w:ascii="Arial" w:hAnsi="Arial" w:cs="Arial"/>
          <w:sz w:val="22"/>
          <w:szCs w:val="22"/>
        </w:rPr>
        <w:tab/>
      </w:r>
      <w:r w:rsidRPr="00C64E7C">
        <w:rPr>
          <w:rFonts w:ascii="Arial" w:hAnsi="Arial" w:cs="Arial"/>
          <w:sz w:val="22"/>
          <w:szCs w:val="22"/>
        </w:rPr>
        <w:tab/>
      </w:r>
      <w:r w:rsidRPr="00C64E7C">
        <w:rPr>
          <w:rFonts w:ascii="Arial" w:hAnsi="Arial" w:cs="Arial"/>
          <w:sz w:val="22"/>
          <w:szCs w:val="22"/>
        </w:rPr>
        <w:tab/>
        <w:t>Yes/ No</w:t>
      </w:r>
      <w:r w:rsidRPr="00C64E7C">
        <w:rPr>
          <w:rFonts w:ascii="Arial" w:hAnsi="Arial" w:cs="Arial"/>
          <w:sz w:val="22"/>
          <w:szCs w:val="22"/>
        </w:rPr>
        <w:tab/>
      </w:r>
      <w:r w:rsidRPr="00C64E7C">
        <w:rPr>
          <w:rFonts w:ascii="Arial" w:hAnsi="Arial" w:cs="Arial"/>
          <w:sz w:val="22"/>
          <w:szCs w:val="22"/>
        </w:rPr>
        <w:tab/>
        <w:t xml:space="preserve">Category 1 / 2 </w:t>
      </w:r>
    </w:p>
    <w:p w14:paraId="32EB20DC"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Approved for Grey Listing</w:t>
      </w:r>
      <w:r w:rsidRPr="00C64E7C">
        <w:rPr>
          <w:rFonts w:ascii="Arial" w:hAnsi="Arial" w:cs="Arial"/>
          <w:sz w:val="22"/>
          <w:szCs w:val="22"/>
        </w:rPr>
        <w:tab/>
      </w:r>
      <w:r w:rsidRPr="00C64E7C">
        <w:rPr>
          <w:rFonts w:ascii="Arial" w:hAnsi="Arial" w:cs="Arial"/>
          <w:sz w:val="22"/>
          <w:szCs w:val="22"/>
        </w:rPr>
        <w:tab/>
      </w:r>
      <w:r w:rsidRPr="00C64E7C">
        <w:rPr>
          <w:rFonts w:ascii="Arial" w:hAnsi="Arial" w:cs="Arial"/>
          <w:sz w:val="22"/>
          <w:szCs w:val="22"/>
        </w:rPr>
        <w:tab/>
        <w:t>Yes/ No</w:t>
      </w:r>
    </w:p>
    <w:p w14:paraId="01585E95"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Criteria for permissible grey list use:</w:t>
      </w:r>
    </w:p>
    <w:p w14:paraId="3631389F" w14:textId="77777777" w:rsidR="0073375D" w:rsidRPr="00C64E7C" w:rsidRDefault="0073375D" w:rsidP="0073375D">
      <w:pPr>
        <w:spacing w:after="120"/>
        <w:jc w:val="both"/>
        <w:rPr>
          <w:rFonts w:ascii="Arial" w:hAnsi="Arial" w:cs="Arial"/>
          <w:sz w:val="22"/>
          <w:szCs w:val="22"/>
        </w:rPr>
      </w:pPr>
    </w:p>
    <w:p w14:paraId="1955F1F9" w14:textId="77777777" w:rsidR="0073375D" w:rsidRPr="00C64E7C" w:rsidRDefault="0073375D" w:rsidP="0073375D">
      <w:pPr>
        <w:spacing w:after="120"/>
        <w:jc w:val="both"/>
        <w:rPr>
          <w:rFonts w:ascii="Arial" w:hAnsi="Arial" w:cs="Arial"/>
          <w:sz w:val="22"/>
          <w:szCs w:val="22"/>
        </w:rPr>
      </w:pPr>
    </w:p>
    <w:p w14:paraId="1130A3F8"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Outcome confirmed on behalf of STAMP (Chair of meeting / Director / Head of Service)</w:t>
      </w:r>
    </w:p>
    <w:p w14:paraId="120F11A7" w14:textId="77777777" w:rsidR="0073375D" w:rsidRPr="00C64E7C" w:rsidRDefault="0073375D" w:rsidP="0073375D">
      <w:pPr>
        <w:spacing w:after="120"/>
        <w:jc w:val="both"/>
        <w:rPr>
          <w:rFonts w:ascii="Arial" w:hAnsi="Arial" w:cs="Arial"/>
          <w:sz w:val="22"/>
          <w:szCs w:val="22"/>
        </w:rPr>
      </w:pPr>
      <w:r w:rsidRPr="00C64E7C">
        <w:rPr>
          <w:rFonts w:ascii="Arial" w:hAnsi="Arial" w:cs="Arial"/>
          <w:sz w:val="22"/>
          <w:szCs w:val="22"/>
        </w:rPr>
        <w:t>Signed:</w:t>
      </w:r>
      <w:r w:rsidRPr="00C64E7C">
        <w:rPr>
          <w:rFonts w:ascii="Arial" w:hAnsi="Arial" w:cs="Arial"/>
          <w:sz w:val="22"/>
          <w:szCs w:val="22"/>
        </w:rPr>
        <w:tab/>
      </w:r>
      <w:r w:rsidRPr="00C64E7C">
        <w:rPr>
          <w:rFonts w:ascii="Arial" w:hAnsi="Arial" w:cs="Arial"/>
          <w:sz w:val="22"/>
          <w:szCs w:val="22"/>
        </w:rPr>
        <w:tab/>
      </w:r>
      <w:r w:rsidRPr="00C64E7C">
        <w:rPr>
          <w:rFonts w:ascii="Arial" w:hAnsi="Arial" w:cs="Arial"/>
          <w:sz w:val="22"/>
          <w:szCs w:val="22"/>
        </w:rPr>
        <w:tab/>
      </w:r>
      <w:r w:rsidRPr="00C64E7C">
        <w:rPr>
          <w:rFonts w:ascii="Arial" w:hAnsi="Arial" w:cs="Arial"/>
          <w:sz w:val="22"/>
          <w:szCs w:val="22"/>
        </w:rPr>
        <w:tab/>
      </w:r>
      <w:r w:rsidRPr="00C64E7C">
        <w:rPr>
          <w:rFonts w:ascii="Arial" w:hAnsi="Arial" w:cs="Arial"/>
          <w:sz w:val="22"/>
          <w:szCs w:val="22"/>
        </w:rPr>
        <w:tab/>
        <w:t>Designation:</w:t>
      </w:r>
    </w:p>
    <w:p w14:paraId="6724DBC1" w14:textId="77777777" w:rsidR="008A21C3" w:rsidRPr="008A21C3" w:rsidRDefault="008A21C3" w:rsidP="008A21C3">
      <w:pPr>
        <w:spacing w:before="120"/>
        <w:jc w:val="both"/>
        <w:rPr>
          <w:rFonts w:ascii="Arial" w:hAnsi="Arial" w:cs="Arial"/>
          <w:bCs/>
          <w:iCs/>
          <w:color w:val="000000"/>
          <w:sz w:val="16"/>
          <w:szCs w:val="16"/>
          <w:lang w:eastAsia="en-GB"/>
        </w:rPr>
      </w:pPr>
    </w:p>
    <w:sectPr w:rsidR="008A21C3" w:rsidRPr="008A21C3" w:rsidSect="00EE337D">
      <w:footerReference w:type="default" r:id="rId10"/>
      <w:pgSz w:w="11906" w:h="16838"/>
      <w:pgMar w:top="426" w:right="849" w:bottom="568" w:left="851"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34C2C" w14:textId="77777777" w:rsidR="00B43F2D" w:rsidRDefault="00B43F2D">
      <w:r>
        <w:separator/>
      </w:r>
    </w:p>
  </w:endnote>
  <w:endnote w:type="continuationSeparator" w:id="0">
    <w:p w14:paraId="14646CA2" w14:textId="77777777" w:rsidR="00B43F2D" w:rsidRDefault="00B4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7D15E" w14:textId="77777777" w:rsidR="00591D95" w:rsidRPr="00030693" w:rsidRDefault="00A90082">
    <w:pPr>
      <w:pStyle w:val="Footer"/>
      <w:rPr>
        <w:rFonts w:ascii="Arial" w:hAnsi="Arial"/>
        <w:sz w:val="20"/>
      </w:rPr>
    </w:pPr>
    <w:r>
      <w:rPr>
        <w:rFonts w:ascii="Arial" w:hAnsi="Arial"/>
        <w:sz w:val="20"/>
      </w:rPr>
      <w:fldChar w:fldCharType="begin"/>
    </w:r>
    <w:r>
      <w:rPr>
        <w:rFonts w:ascii="Arial" w:hAnsi="Arial"/>
        <w:sz w:val="20"/>
      </w:rPr>
      <w:instrText xml:space="preserve"> FILENAME  \p  \* MERGEFORMAT </w:instrText>
    </w:r>
    <w:r>
      <w:rPr>
        <w:rFonts w:ascii="Arial" w:hAnsi="Arial"/>
        <w:sz w:val="20"/>
      </w:rPr>
      <w:fldChar w:fldCharType="separate"/>
    </w:r>
    <w:r>
      <w:rPr>
        <w:rFonts w:ascii="Arial" w:hAnsi="Arial"/>
        <w:noProof/>
        <w:sz w:val="20"/>
      </w:rPr>
      <w:t>N:\GPDevelopment\Medicines Optimisation\Policies, Protocols guidelines and procedures\Procedures\Stockport restricted prescribing listing request or amemndments form v3. Jun 20.docx</w:t>
    </w:r>
    <w:r>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A0880" w14:textId="77777777" w:rsidR="00B43F2D" w:rsidRDefault="00B43F2D">
      <w:r>
        <w:separator/>
      </w:r>
    </w:p>
  </w:footnote>
  <w:footnote w:type="continuationSeparator" w:id="0">
    <w:p w14:paraId="77B3648D" w14:textId="77777777" w:rsidR="00B43F2D" w:rsidRDefault="00B4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E02DD"/>
    <w:multiLevelType w:val="hybridMultilevel"/>
    <w:tmpl w:val="311A30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5A95770"/>
    <w:multiLevelType w:val="hybridMultilevel"/>
    <w:tmpl w:val="335A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2852D0"/>
    <w:multiLevelType w:val="hybridMultilevel"/>
    <w:tmpl w:val="67F6A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5A"/>
    <w:rsid w:val="00002F27"/>
    <w:rsid w:val="00030693"/>
    <w:rsid w:val="0003114C"/>
    <w:rsid w:val="00035F1F"/>
    <w:rsid w:val="00042540"/>
    <w:rsid w:val="00043B06"/>
    <w:rsid w:val="000520E6"/>
    <w:rsid w:val="0005295F"/>
    <w:rsid w:val="00063F67"/>
    <w:rsid w:val="00076904"/>
    <w:rsid w:val="00125FE5"/>
    <w:rsid w:val="00137C20"/>
    <w:rsid w:val="00181EB7"/>
    <w:rsid w:val="00197B96"/>
    <w:rsid w:val="00197E9F"/>
    <w:rsid w:val="0021028B"/>
    <w:rsid w:val="00264BC7"/>
    <w:rsid w:val="00271D25"/>
    <w:rsid w:val="0032704F"/>
    <w:rsid w:val="003377DF"/>
    <w:rsid w:val="00363129"/>
    <w:rsid w:val="0037706C"/>
    <w:rsid w:val="003A12F0"/>
    <w:rsid w:val="003E4531"/>
    <w:rsid w:val="00406B32"/>
    <w:rsid w:val="004306C8"/>
    <w:rsid w:val="004521D5"/>
    <w:rsid w:val="00461274"/>
    <w:rsid w:val="00480ACF"/>
    <w:rsid w:val="00482DAC"/>
    <w:rsid w:val="004A4102"/>
    <w:rsid w:val="00530FB4"/>
    <w:rsid w:val="00537911"/>
    <w:rsid w:val="00585E4D"/>
    <w:rsid w:val="00591D95"/>
    <w:rsid w:val="005C14E5"/>
    <w:rsid w:val="0063267F"/>
    <w:rsid w:val="00642211"/>
    <w:rsid w:val="00682AC1"/>
    <w:rsid w:val="006A07C2"/>
    <w:rsid w:val="006A4D2D"/>
    <w:rsid w:val="00702CD7"/>
    <w:rsid w:val="007134DE"/>
    <w:rsid w:val="0073375D"/>
    <w:rsid w:val="00737819"/>
    <w:rsid w:val="00747B1C"/>
    <w:rsid w:val="00752913"/>
    <w:rsid w:val="007C6378"/>
    <w:rsid w:val="007E408A"/>
    <w:rsid w:val="00877B9F"/>
    <w:rsid w:val="008A21C3"/>
    <w:rsid w:val="008E0242"/>
    <w:rsid w:val="008E09AA"/>
    <w:rsid w:val="009322E1"/>
    <w:rsid w:val="00943ABA"/>
    <w:rsid w:val="00962F77"/>
    <w:rsid w:val="0096551A"/>
    <w:rsid w:val="009A18EE"/>
    <w:rsid w:val="009B0AC5"/>
    <w:rsid w:val="00A25483"/>
    <w:rsid w:val="00A6733A"/>
    <w:rsid w:val="00A90082"/>
    <w:rsid w:val="00A95678"/>
    <w:rsid w:val="00AD280D"/>
    <w:rsid w:val="00AF1C34"/>
    <w:rsid w:val="00B057A7"/>
    <w:rsid w:val="00B423A1"/>
    <w:rsid w:val="00B43F2D"/>
    <w:rsid w:val="00B54C7E"/>
    <w:rsid w:val="00BB582C"/>
    <w:rsid w:val="00BC00F8"/>
    <w:rsid w:val="00C0760E"/>
    <w:rsid w:val="00C42145"/>
    <w:rsid w:val="00C54C31"/>
    <w:rsid w:val="00C83C20"/>
    <w:rsid w:val="00C86AF3"/>
    <w:rsid w:val="00CB0318"/>
    <w:rsid w:val="00D02542"/>
    <w:rsid w:val="00D4148D"/>
    <w:rsid w:val="00D94F92"/>
    <w:rsid w:val="00DA0247"/>
    <w:rsid w:val="00DB7399"/>
    <w:rsid w:val="00E57A61"/>
    <w:rsid w:val="00EE337D"/>
    <w:rsid w:val="00EE4194"/>
    <w:rsid w:val="00F05E80"/>
    <w:rsid w:val="00F2025A"/>
    <w:rsid w:val="00F319FE"/>
    <w:rsid w:val="00F3660F"/>
    <w:rsid w:val="00F3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B054E9"/>
  <w15:docId w15:val="{3C8970E8-8652-4965-AC05-906DB2DC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25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35F1F"/>
    <w:rPr>
      <w:sz w:val="16"/>
      <w:szCs w:val="16"/>
    </w:rPr>
  </w:style>
  <w:style w:type="paragraph" w:styleId="CommentText">
    <w:name w:val="annotation text"/>
    <w:basedOn w:val="Normal"/>
    <w:semiHidden/>
    <w:rsid w:val="00035F1F"/>
    <w:rPr>
      <w:sz w:val="20"/>
      <w:szCs w:val="20"/>
    </w:rPr>
  </w:style>
  <w:style w:type="paragraph" w:styleId="CommentSubject">
    <w:name w:val="annotation subject"/>
    <w:basedOn w:val="CommentText"/>
    <w:next w:val="CommentText"/>
    <w:semiHidden/>
    <w:rsid w:val="00035F1F"/>
    <w:rPr>
      <w:b/>
      <w:bCs/>
    </w:rPr>
  </w:style>
  <w:style w:type="paragraph" w:styleId="BalloonText">
    <w:name w:val="Balloon Text"/>
    <w:basedOn w:val="Normal"/>
    <w:semiHidden/>
    <w:rsid w:val="00035F1F"/>
    <w:rPr>
      <w:rFonts w:ascii="Tahoma" w:hAnsi="Tahoma" w:cs="Tahoma"/>
      <w:sz w:val="16"/>
      <w:szCs w:val="16"/>
    </w:rPr>
  </w:style>
  <w:style w:type="paragraph" w:styleId="Header">
    <w:name w:val="header"/>
    <w:basedOn w:val="Normal"/>
    <w:rsid w:val="006A07C2"/>
    <w:pPr>
      <w:tabs>
        <w:tab w:val="center" w:pos="4153"/>
        <w:tab w:val="right" w:pos="8306"/>
      </w:tabs>
    </w:pPr>
  </w:style>
  <w:style w:type="paragraph" w:styleId="Footer">
    <w:name w:val="footer"/>
    <w:basedOn w:val="Normal"/>
    <w:rsid w:val="006A07C2"/>
    <w:pPr>
      <w:tabs>
        <w:tab w:val="center" w:pos="4153"/>
        <w:tab w:val="right" w:pos="8306"/>
      </w:tabs>
    </w:pPr>
  </w:style>
  <w:style w:type="paragraph" w:styleId="ListParagraph">
    <w:name w:val="List Paragraph"/>
    <w:basedOn w:val="Normal"/>
    <w:uiPriority w:val="34"/>
    <w:qFormat/>
    <w:rsid w:val="00043B06"/>
    <w:pPr>
      <w:ind w:left="720"/>
      <w:contextualSpacing/>
    </w:pPr>
  </w:style>
  <w:style w:type="paragraph" w:customStyle="1" w:styleId="Char">
    <w:name w:val="Char"/>
    <w:basedOn w:val="Normal"/>
    <w:rsid w:val="0063267F"/>
    <w:pPr>
      <w:spacing w:after="120" w:line="240" w:lineRule="exact"/>
    </w:pPr>
    <w:rPr>
      <w:rFonts w:ascii="Verdana" w:hAnsi="Verdana"/>
      <w:sz w:val="20"/>
      <w:szCs w:val="20"/>
    </w:rPr>
  </w:style>
  <w:style w:type="character" w:styleId="Hyperlink">
    <w:name w:val="Hyperlink"/>
    <w:basedOn w:val="DefaultParagraphFont"/>
    <w:unhideWhenUsed/>
    <w:rsid w:val="00D94F92"/>
    <w:rPr>
      <w:color w:val="0000FF" w:themeColor="hyperlink"/>
      <w:u w:val="single"/>
    </w:rPr>
  </w:style>
  <w:style w:type="character" w:styleId="UnresolvedMention">
    <w:name w:val="Unresolved Mention"/>
    <w:basedOn w:val="DefaultParagraphFont"/>
    <w:uiPriority w:val="99"/>
    <w:semiHidden/>
    <w:unhideWhenUsed/>
    <w:rsid w:val="00D94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OCCG.medsopadmi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7A9E-6463-47B4-B5D4-AAA2151B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Trust</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MacfarlaneK</dc:creator>
  <cp:lastModifiedBy>Spink Angela (CCG-Stockport)</cp:lastModifiedBy>
  <cp:revision>2</cp:revision>
  <cp:lastPrinted>2014-06-30T10:08:00Z</cp:lastPrinted>
  <dcterms:created xsi:type="dcterms:W3CDTF">2022-01-20T14:31:00Z</dcterms:created>
  <dcterms:modified xsi:type="dcterms:W3CDTF">2022-01-20T14:31:00Z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