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678" w:rsidRPr="00AF1C34" w:rsidRDefault="00BB582C" w:rsidP="00AF1C34">
      <w:pPr>
        <w:rPr>
          <w:rFonts w:ascii="Arial" w:hAnsi="Arial" w:cs="Arial"/>
          <w:b/>
        </w:rPr>
      </w:pPr>
      <w:bookmarkStart w:id="0" w:name="_GoBack"/>
      <w:bookmarkEnd w:id="0"/>
      <w:r>
        <w:rPr>
          <w:rFonts w:ascii="Arial" w:hAnsi="Arial" w:cs="Arial"/>
          <w:b/>
          <w:noProof/>
          <w:lang w:val="en-GB" w:eastAsia="en-GB"/>
        </w:rPr>
        <w:drawing>
          <wp:anchor distT="0" distB="0" distL="114300" distR="114300" simplePos="0" relativeHeight="251658240" behindDoc="0" locked="0" layoutInCell="1" allowOverlap="1">
            <wp:simplePos x="0" y="0"/>
            <wp:positionH relativeFrom="column">
              <wp:posOffset>4518660</wp:posOffset>
            </wp:positionH>
            <wp:positionV relativeFrom="paragraph">
              <wp:posOffset>-464185</wp:posOffset>
            </wp:positionV>
            <wp:extent cx="1828800" cy="581025"/>
            <wp:effectExtent l="0" t="0" r="0" b="9525"/>
            <wp:wrapSquare wrapText="bothSides"/>
            <wp:docPr id="2" name="Picture 2" descr="Stockport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ckport CCG co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A95678" w:rsidRPr="00002F27">
        <w:rPr>
          <w:rFonts w:ascii="Arial" w:hAnsi="Arial" w:cs="Arial"/>
          <w:b/>
          <w:sz w:val="26"/>
          <w:szCs w:val="26"/>
        </w:rPr>
        <w:t xml:space="preserve">Stockport </w:t>
      </w:r>
      <w:r w:rsidR="00F05E80" w:rsidRPr="00002F27">
        <w:rPr>
          <w:rFonts w:ascii="Arial" w:hAnsi="Arial" w:cs="Arial"/>
          <w:b/>
          <w:sz w:val="26"/>
          <w:szCs w:val="26"/>
        </w:rPr>
        <w:t xml:space="preserve">CCG </w:t>
      </w:r>
      <w:r w:rsidR="00197B96">
        <w:rPr>
          <w:rFonts w:ascii="Arial" w:hAnsi="Arial" w:cs="Arial"/>
          <w:b/>
          <w:sz w:val="26"/>
          <w:szCs w:val="26"/>
        </w:rPr>
        <w:t xml:space="preserve">prescribing restriction </w:t>
      </w:r>
      <w:r w:rsidR="00C0760E">
        <w:rPr>
          <w:rFonts w:ascii="Arial" w:hAnsi="Arial" w:cs="Arial"/>
          <w:b/>
          <w:sz w:val="26"/>
          <w:szCs w:val="26"/>
        </w:rPr>
        <w:t>lists</w:t>
      </w:r>
    </w:p>
    <w:p w:rsidR="005C14E5" w:rsidRPr="008D3005" w:rsidRDefault="005C14E5">
      <w:pPr>
        <w:rPr>
          <w:rFonts w:ascii="Arial" w:hAnsi="Arial" w:cs="Arial"/>
          <w:b/>
          <w:sz w:val="12"/>
          <w:szCs w:val="12"/>
        </w:rPr>
      </w:pPr>
    </w:p>
    <w:p w:rsidR="005C14E5" w:rsidRPr="008E09AA" w:rsidRDefault="00E57A61" w:rsidP="00E57A61">
      <w:pPr>
        <w:jc w:val="both"/>
        <w:rPr>
          <w:rFonts w:ascii="Arial" w:hAnsi="Arial" w:cs="Arial"/>
          <w:sz w:val="22"/>
          <w:szCs w:val="22"/>
        </w:rPr>
      </w:pPr>
      <w:r w:rsidRPr="008E09AA">
        <w:rPr>
          <w:rFonts w:ascii="Arial" w:hAnsi="Arial" w:cs="Arial"/>
          <w:sz w:val="22"/>
          <w:szCs w:val="22"/>
        </w:rPr>
        <w:t xml:space="preserve">The </w:t>
      </w:r>
      <w:r w:rsidR="005C14E5" w:rsidRPr="008E09AA">
        <w:rPr>
          <w:rFonts w:ascii="Arial" w:hAnsi="Arial" w:cs="Arial"/>
          <w:sz w:val="22"/>
          <w:szCs w:val="22"/>
        </w:rPr>
        <w:t xml:space="preserve">Stockport CCG </w:t>
      </w:r>
      <w:r w:rsidR="00702CD7">
        <w:rPr>
          <w:rFonts w:ascii="Arial" w:hAnsi="Arial" w:cs="Arial"/>
          <w:sz w:val="22"/>
          <w:szCs w:val="22"/>
        </w:rPr>
        <w:t>Black and Grey Listing</w:t>
      </w:r>
      <w:r w:rsidR="0005295F" w:rsidRPr="008E09AA">
        <w:rPr>
          <w:rFonts w:ascii="Arial" w:hAnsi="Arial" w:cs="Arial"/>
          <w:sz w:val="22"/>
          <w:szCs w:val="22"/>
        </w:rPr>
        <w:t xml:space="preserve"> </w:t>
      </w:r>
      <w:r w:rsidR="00197B96">
        <w:rPr>
          <w:rFonts w:ascii="Arial" w:hAnsi="Arial" w:cs="Arial"/>
          <w:sz w:val="22"/>
          <w:szCs w:val="22"/>
        </w:rPr>
        <w:t xml:space="preserve">prevents prescribing </w:t>
      </w:r>
      <w:r w:rsidR="00F2025A" w:rsidRPr="008E09AA">
        <w:rPr>
          <w:rFonts w:ascii="Arial" w:hAnsi="Arial" w:cs="Arial"/>
          <w:sz w:val="22"/>
          <w:szCs w:val="22"/>
        </w:rPr>
        <w:t xml:space="preserve">of drugs deemed to be less suitable for prescribing due to safety, </w:t>
      </w:r>
      <w:r w:rsidR="00A95678" w:rsidRPr="008E09AA">
        <w:rPr>
          <w:rFonts w:ascii="Arial" w:hAnsi="Arial" w:cs="Arial"/>
          <w:sz w:val="22"/>
          <w:szCs w:val="22"/>
        </w:rPr>
        <w:t>efficacy or</w:t>
      </w:r>
      <w:r w:rsidR="00197B96">
        <w:rPr>
          <w:rFonts w:ascii="Arial" w:hAnsi="Arial" w:cs="Arial"/>
          <w:sz w:val="22"/>
          <w:szCs w:val="22"/>
        </w:rPr>
        <w:t xml:space="preserve"> of poor value for the NHS</w:t>
      </w:r>
      <w:r w:rsidR="00A95678" w:rsidRPr="008E09AA">
        <w:rPr>
          <w:rFonts w:ascii="Arial" w:hAnsi="Arial" w:cs="Arial"/>
          <w:sz w:val="22"/>
          <w:szCs w:val="22"/>
        </w:rPr>
        <w:t xml:space="preserve">. </w:t>
      </w:r>
    </w:p>
    <w:p w:rsidR="005C14E5" w:rsidRPr="002F61F9" w:rsidRDefault="005C14E5" w:rsidP="00E57A61">
      <w:pPr>
        <w:jc w:val="both"/>
        <w:rPr>
          <w:rFonts w:ascii="Arial" w:hAnsi="Arial" w:cs="Arial"/>
          <w:sz w:val="12"/>
          <w:szCs w:val="12"/>
        </w:rPr>
      </w:pPr>
    </w:p>
    <w:p w:rsidR="00197B96" w:rsidRDefault="00A95678" w:rsidP="00E57A61">
      <w:pPr>
        <w:jc w:val="both"/>
        <w:rPr>
          <w:rFonts w:ascii="Arial" w:hAnsi="Arial" w:cs="Arial"/>
          <w:sz w:val="22"/>
          <w:szCs w:val="22"/>
        </w:rPr>
      </w:pPr>
      <w:r w:rsidRPr="008E09AA">
        <w:rPr>
          <w:rFonts w:ascii="Arial" w:hAnsi="Arial" w:cs="Arial"/>
          <w:sz w:val="22"/>
          <w:szCs w:val="22"/>
        </w:rPr>
        <w:t xml:space="preserve">Any product can be </w:t>
      </w:r>
      <w:r w:rsidR="00197B96">
        <w:rPr>
          <w:rFonts w:ascii="Arial" w:hAnsi="Arial" w:cs="Arial"/>
          <w:sz w:val="22"/>
          <w:szCs w:val="22"/>
        </w:rPr>
        <w:t xml:space="preserve">nominated for </w:t>
      </w:r>
      <w:r w:rsidRPr="008E09AA">
        <w:rPr>
          <w:rFonts w:ascii="Arial" w:hAnsi="Arial" w:cs="Arial"/>
          <w:sz w:val="22"/>
          <w:szCs w:val="22"/>
        </w:rPr>
        <w:t xml:space="preserve">considered </w:t>
      </w:r>
      <w:r w:rsidR="00AF1C34">
        <w:rPr>
          <w:rFonts w:ascii="Arial" w:hAnsi="Arial" w:cs="Arial"/>
          <w:sz w:val="22"/>
          <w:szCs w:val="22"/>
        </w:rPr>
        <w:t xml:space="preserve">for </w:t>
      </w:r>
      <w:r w:rsidR="00197B96">
        <w:rPr>
          <w:rFonts w:ascii="Arial" w:hAnsi="Arial" w:cs="Arial"/>
          <w:sz w:val="22"/>
          <w:szCs w:val="22"/>
        </w:rPr>
        <w:t>listing by NHS Stockport clinicians or CCG staff. P</w:t>
      </w:r>
      <w:r w:rsidR="005C14E5" w:rsidRPr="008E09AA">
        <w:rPr>
          <w:rFonts w:ascii="Arial" w:hAnsi="Arial" w:cs="Arial"/>
          <w:sz w:val="22"/>
          <w:szCs w:val="22"/>
        </w:rPr>
        <w:t>roduct</w:t>
      </w:r>
      <w:r w:rsidR="00197B96">
        <w:rPr>
          <w:rFonts w:ascii="Arial" w:hAnsi="Arial" w:cs="Arial"/>
          <w:sz w:val="22"/>
          <w:szCs w:val="22"/>
        </w:rPr>
        <w:t>s</w:t>
      </w:r>
      <w:r w:rsidR="005C14E5" w:rsidRPr="008E09AA">
        <w:rPr>
          <w:rFonts w:ascii="Arial" w:hAnsi="Arial" w:cs="Arial"/>
          <w:sz w:val="22"/>
          <w:szCs w:val="22"/>
        </w:rPr>
        <w:t xml:space="preserve"> </w:t>
      </w:r>
      <w:r w:rsidR="00AF1C34">
        <w:rPr>
          <w:rFonts w:ascii="Arial" w:hAnsi="Arial" w:cs="Arial"/>
          <w:sz w:val="22"/>
          <w:szCs w:val="22"/>
        </w:rPr>
        <w:t>added</w:t>
      </w:r>
      <w:r w:rsidR="005C14E5" w:rsidRPr="008E09AA">
        <w:rPr>
          <w:rFonts w:ascii="Arial" w:hAnsi="Arial" w:cs="Arial"/>
          <w:sz w:val="22"/>
          <w:szCs w:val="22"/>
        </w:rPr>
        <w:t xml:space="preserve"> to the Do Not Prescribe list produced by the GMMMG Formulary Group </w:t>
      </w:r>
      <w:r w:rsidR="00AF1C34">
        <w:rPr>
          <w:rFonts w:ascii="Arial" w:hAnsi="Arial" w:cs="Arial"/>
          <w:sz w:val="22"/>
          <w:szCs w:val="22"/>
        </w:rPr>
        <w:t xml:space="preserve">will automatically be added. </w:t>
      </w:r>
      <w:r w:rsidR="00197B96">
        <w:rPr>
          <w:rFonts w:ascii="Arial" w:hAnsi="Arial" w:cs="Arial"/>
          <w:sz w:val="22"/>
          <w:szCs w:val="22"/>
        </w:rPr>
        <w:t>P</w:t>
      </w:r>
      <w:r w:rsidR="005C14E5" w:rsidRPr="008E09AA">
        <w:rPr>
          <w:rFonts w:ascii="Arial" w:hAnsi="Arial" w:cs="Arial"/>
          <w:sz w:val="22"/>
          <w:szCs w:val="22"/>
        </w:rPr>
        <w:t xml:space="preserve">roduct considered by GMMMG for </w:t>
      </w:r>
      <w:r w:rsidR="0005295F" w:rsidRPr="008E09AA">
        <w:rPr>
          <w:rFonts w:ascii="Arial" w:hAnsi="Arial" w:cs="Arial"/>
          <w:sz w:val="22"/>
          <w:szCs w:val="22"/>
        </w:rPr>
        <w:t>the Do Not Prescribe</w:t>
      </w:r>
      <w:r w:rsidR="00197B96">
        <w:rPr>
          <w:rFonts w:ascii="Arial" w:hAnsi="Arial" w:cs="Arial"/>
          <w:sz w:val="22"/>
          <w:szCs w:val="22"/>
        </w:rPr>
        <w:t xml:space="preserve"> or grey list at a GM level will be reviewed locally</w:t>
      </w:r>
      <w:r w:rsidRPr="008E09AA">
        <w:rPr>
          <w:rFonts w:ascii="Arial" w:hAnsi="Arial" w:cs="Arial"/>
          <w:sz w:val="22"/>
          <w:szCs w:val="22"/>
        </w:rPr>
        <w:t>,</w:t>
      </w:r>
      <w:r w:rsidR="0005295F" w:rsidRPr="008E09AA">
        <w:rPr>
          <w:rFonts w:ascii="Arial" w:hAnsi="Arial" w:cs="Arial"/>
          <w:sz w:val="22"/>
          <w:szCs w:val="22"/>
        </w:rPr>
        <w:t xml:space="preserve"> </w:t>
      </w:r>
      <w:r w:rsidR="00197B96">
        <w:rPr>
          <w:rFonts w:ascii="Arial" w:hAnsi="Arial" w:cs="Arial"/>
          <w:sz w:val="22"/>
          <w:szCs w:val="22"/>
        </w:rPr>
        <w:t xml:space="preserve">in case </w:t>
      </w:r>
      <w:r w:rsidR="0005295F" w:rsidRPr="008E09AA">
        <w:rPr>
          <w:rFonts w:ascii="Arial" w:hAnsi="Arial" w:cs="Arial"/>
          <w:sz w:val="22"/>
          <w:szCs w:val="22"/>
        </w:rPr>
        <w:t>there is a</w:t>
      </w:r>
      <w:r w:rsidR="00197B96">
        <w:rPr>
          <w:rFonts w:ascii="Arial" w:hAnsi="Arial" w:cs="Arial"/>
          <w:sz w:val="22"/>
          <w:szCs w:val="22"/>
        </w:rPr>
        <w:t xml:space="preserve"> different position locally.</w:t>
      </w:r>
    </w:p>
    <w:p w:rsidR="008A62C5" w:rsidRPr="002F61F9" w:rsidRDefault="008A62C5" w:rsidP="00E57A61">
      <w:pPr>
        <w:jc w:val="both"/>
        <w:rPr>
          <w:rFonts w:ascii="Arial" w:hAnsi="Arial" w:cs="Arial"/>
          <w:sz w:val="12"/>
          <w:szCs w:val="12"/>
        </w:rPr>
      </w:pPr>
    </w:p>
    <w:p w:rsidR="00A95678" w:rsidRDefault="00A95678" w:rsidP="00A95678">
      <w:pPr>
        <w:rPr>
          <w:rFonts w:ascii="Arial" w:hAnsi="Arial" w:cs="Arial"/>
          <w:sz w:val="22"/>
          <w:szCs w:val="22"/>
        </w:rPr>
      </w:pPr>
      <w:r w:rsidRPr="008E09AA">
        <w:rPr>
          <w:rFonts w:ascii="Arial" w:hAnsi="Arial" w:cs="Arial"/>
          <w:sz w:val="22"/>
          <w:szCs w:val="22"/>
        </w:rPr>
        <w:t>Name of product</w:t>
      </w:r>
      <w:r w:rsidR="00197B96">
        <w:rPr>
          <w:rFonts w:ascii="Arial" w:hAnsi="Arial" w:cs="Arial"/>
          <w:sz w:val="22"/>
          <w:szCs w:val="22"/>
        </w:rPr>
        <w:t>(s)</w:t>
      </w:r>
      <w:r w:rsidRPr="008E09AA">
        <w:rPr>
          <w:rFonts w:ascii="Arial" w:hAnsi="Arial" w:cs="Arial"/>
          <w:sz w:val="22"/>
          <w:szCs w:val="22"/>
        </w:rPr>
        <w:t xml:space="preserve"> to be considered</w:t>
      </w:r>
      <w:r w:rsidR="00A44DCE">
        <w:rPr>
          <w:rFonts w:ascii="Arial" w:hAnsi="Arial" w:cs="Arial"/>
          <w:sz w:val="22"/>
          <w:szCs w:val="22"/>
        </w:rPr>
        <w:t>:</w:t>
      </w:r>
      <w:r w:rsidRPr="008E09AA">
        <w:rPr>
          <w:rFonts w:ascii="Arial" w:hAnsi="Arial" w:cs="Arial"/>
          <w:sz w:val="22"/>
          <w:szCs w:val="22"/>
        </w:rPr>
        <w:t xml:space="preserve"> </w:t>
      </w:r>
      <w:r w:rsidR="00187BDF">
        <w:rPr>
          <w:rFonts w:ascii="Arial" w:hAnsi="Arial" w:cs="Arial"/>
          <w:sz w:val="22"/>
          <w:szCs w:val="22"/>
        </w:rPr>
        <w:t>Evoke E-Cigarettes</w:t>
      </w:r>
    </w:p>
    <w:p w:rsidR="008A62C5" w:rsidRPr="002F61F9" w:rsidRDefault="008A62C5" w:rsidP="00A95678">
      <w:pPr>
        <w:rPr>
          <w:rFonts w:ascii="Arial" w:hAnsi="Arial" w:cs="Arial"/>
          <w:sz w:val="12"/>
          <w:szCs w:val="12"/>
        </w:rPr>
      </w:pPr>
    </w:p>
    <w:p w:rsidR="00002F27" w:rsidRPr="008E09AA" w:rsidRDefault="00002F27" w:rsidP="00A95678">
      <w:pPr>
        <w:rPr>
          <w:rFonts w:ascii="Arial" w:hAnsi="Arial" w:cs="Arial"/>
          <w:sz w:val="22"/>
          <w:szCs w:val="22"/>
        </w:rPr>
      </w:pPr>
      <w:r w:rsidRPr="008E09AA">
        <w:rPr>
          <w:rFonts w:ascii="Arial" w:hAnsi="Arial" w:cs="Arial"/>
          <w:sz w:val="22"/>
          <w:szCs w:val="22"/>
        </w:rPr>
        <w:t xml:space="preserve">Reason for </w:t>
      </w:r>
      <w:r w:rsidR="00043B06" w:rsidRPr="008E09AA">
        <w:rPr>
          <w:rFonts w:ascii="Arial" w:hAnsi="Arial" w:cs="Arial"/>
          <w:sz w:val="22"/>
          <w:szCs w:val="22"/>
        </w:rPr>
        <w:t xml:space="preserve">product </w:t>
      </w:r>
      <w:r w:rsidRPr="008E09AA">
        <w:rPr>
          <w:rFonts w:ascii="Arial" w:hAnsi="Arial" w:cs="Arial"/>
          <w:sz w:val="22"/>
          <w:szCs w:val="22"/>
        </w:rPr>
        <w:t>nomination</w:t>
      </w:r>
      <w:r w:rsidR="00197B96">
        <w:rPr>
          <w:rFonts w:ascii="Arial" w:hAnsi="Arial" w:cs="Arial"/>
          <w:sz w:val="22"/>
          <w:szCs w:val="22"/>
        </w:rPr>
        <w:t xml:space="preserve"> (</w:t>
      </w:r>
      <w:r w:rsidR="00AF1C34" w:rsidRPr="00197B96">
        <w:rPr>
          <w:rFonts w:ascii="Arial" w:hAnsi="Arial" w:cs="Arial"/>
          <w:i/>
          <w:sz w:val="22"/>
          <w:szCs w:val="22"/>
        </w:rPr>
        <w:t>attach additional evidence if necessary</w:t>
      </w:r>
      <w:r w:rsidR="00AF1C34">
        <w:rPr>
          <w:rFonts w:ascii="Arial" w:hAnsi="Arial" w:cs="Arial"/>
          <w:sz w:val="22"/>
          <w:szCs w:val="22"/>
        </w:rPr>
        <w:t>)</w:t>
      </w:r>
    </w:p>
    <w:p w:rsidR="00002F27" w:rsidRPr="008D3005" w:rsidRDefault="00A44DCE" w:rsidP="008D3005">
      <w:pPr>
        <w:numPr>
          <w:ilvl w:val="0"/>
          <w:numId w:val="3"/>
        </w:numPr>
        <w:ind w:left="714" w:hanging="357"/>
        <w:rPr>
          <w:rFonts w:ascii="Calibri" w:hAnsi="Calibri"/>
        </w:rPr>
      </w:pPr>
      <w:proofErr w:type="gramStart"/>
      <w:r>
        <w:rPr>
          <w:rFonts w:ascii="Arial" w:hAnsi="Arial" w:cs="Arial"/>
          <w:sz w:val="22"/>
          <w:szCs w:val="22"/>
        </w:rPr>
        <w:t>added</w:t>
      </w:r>
      <w:proofErr w:type="gramEnd"/>
      <w:r>
        <w:rPr>
          <w:rFonts w:ascii="Arial" w:hAnsi="Arial" w:cs="Arial"/>
          <w:sz w:val="22"/>
          <w:szCs w:val="22"/>
        </w:rPr>
        <w:t xml:space="preserve"> to the GMMMG DNP List in May 2016. CCG follows GMMMG DNP list</w:t>
      </w:r>
      <w:r w:rsidR="008D3005">
        <w:rPr>
          <w:rFonts w:ascii="Calibri" w:hAnsi="Calibri"/>
        </w:rPr>
        <w:t xml:space="preserve">. </w:t>
      </w:r>
    </w:p>
    <w:p w:rsidR="007E408A" w:rsidRDefault="00E57A61" w:rsidP="00585E4D">
      <w:pPr>
        <w:spacing w:before="120" w:after="120"/>
        <w:jc w:val="both"/>
        <w:rPr>
          <w:rFonts w:ascii="Arial" w:hAnsi="Arial" w:cs="Arial"/>
          <w:b/>
          <w:sz w:val="22"/>
          <w:szCs w:val="22"/>
          <w:u w:val="single"/>
        </w:rPr>
      </w:pPr>
      <w:r w:rsidRPr="008E09AA">
        <w:rPr>
          <w:rFonts w:ascii="Arial" w:hAnsi="Arial" w:cs="Arial"/>
          <w:b/>
          <w:sz w:val="22"/>
          <w:szCs w:val="22"/>
          <w:u w:val="single"/>
        </w:rPr>
        <w:t xml:space="preserve">Criteria for Inclusion on the </w:t>
      </w:r>
      <w:r w:rsidR="0005295F" w:rsidRPr="008E09AA">
        <w:rPr>
          <w:rFonts w:ascii="Arial" w:hAnsi="Arial" w:cs="Arial"/>
          <w:b/>
          <w:sz w:val="22"/>
          <w:szCs w:val="22"/>
          <w:u w:val="single"/>
        </w:rPr>
        <w:t>Stockport CCG Black list</w:t>
      </w:r>
    </w:p>
    <w:p w:rsidR="005C14E5" w:rsidRDefault="00AF1C34" w:rsidP="00AF1C34">
      <w:pPr>
        <w:spacing w:before="120" w:after="120"/>
        <w:jc w:val="both"/>
        <w:rPr>
          <w:rFonts w:ascii="Arial" w:hAnsi="Arial" w:cs="Arial"/>
          <w:i/>
          <w:sz w:val="20"/>
          <w:szCs w:val="20"/>
        </w:rPr>
      </w:pPr>
      <w:r w:rsidRPr="00AF1C34">
        <w:rPr>
          <w:rFonts w:ascii="Arial" w:hAnsi="Arial" w:cs="Arial"/>
          <w:i/>
          <w:sz w:val="20"/>
          <w:szCs w:val="20"/>
          <w:u w:val="single"/>
        </w:rPr>
        <w:t>Select from the list below</w:t>
      </w:r>
      <w:r>
        <w:rPr>
          <w:rFonts w:ascii="Arial" w:hAnsi="Arial" w:cs="Arial"/>
          <w:i/>
          <w:sz w:val="20"/>
          <w:szCs w:val="20"/>
          <w:u w:val="single"/>
        </w:rPr>
        <w:t xml:space="preserve"> </w:t>
      </w:r>
      <w:r w:rsidR="007E408A" w:rsidRPr="00AF1C34">
        <w:rPr>
          <w:rFonts w:ascii="Arial" w:hAnsi="Arial" w:cs="Arial"/>
          <w:i/>
          <w:sz w:val="20"/>
          <w:szCs w:val="20"/>
        </w:rPr>
        <w:t>(There does not need to be agreem</w:t>
      </w:r>
      <w:r w:rsidR="008E09AA" w:rsidRPr="00AF1C34">
        <w:rPr>
          <w:rFonts w:ascii="Arial" w:hAnsi="Arial" w:cs="Arial"/>
          <w:i/>
          <w:sz w:val="20"/>
          <w:szCs w:val="20"/>
        </w:rPr>
        <w:t xml:space="preserve">ent with all statements but all </w:t>
      </w:r>
      <w:r w:rsidR="007E408A" w:rsidRPr="00AF1C34">
        <w:rPr>
          <w:rFonts w:ascii="Arial" w:hAnsi="Arial" w:cs="Arial"/>
          <w:i/>
          <w:sz w:val="20"/>
          <w:szCs w:val="20"/>
        </w:rPr>
        <w:t>need to be considered</w:t>
      </w:r>
      <w:r>
        <w:rPr>
          <w:rFonts w:ascii="Arial" w:hAnsi="Arial" w:cs="Arial"/>
          <w:i/>
          <w:sz w:val="20"/>
          <w:szCs w:val="20"/>
        </w:rPr>
        <w:t xml:space="preserve"> when completing the form for submission to STAMP</w:t>
      </w:r>
      <w:r w:rsidR="007E408A" w:rsidRPr="00AF1C34">
        <w:rPr>
          <w:rFonts w:ascii="Arial" w:hAnsi="Arial" w:cs="Arial"/>
          <w:i/>
          <w:sz w:val="20"/>
          <w:szCs w:val="20"/>
        </w:rPr>
        <w:t>)</w:t>
      </w:r>
    </w:p>
    <w:p w:rsidR="00AF1C34" w:rsidRPr="00AF1C34" w:rsidRDefault="00AF1C34" w:rsidP="00197B96">
      <w:pPr>
        <w:pStyle w:val="ListParagraph"/>
        <w:numPr>
          <w:ilvl w:val="0"/>
          <w:numId w:val="2"/>
        </w:numPr>
        <w:spacing w:before="120" w:after="120"/>
        <w:ind w:left="567" w:hanging="425"/>
        <w:jc w:val="both"/>
        <w:rPr>
          <w:rFonts w:ascii="Arial" w:hAnsi="Arial" w:cs="Arial"/>
          <w:sz w:val="22"/>
          <w:szCs w:val="22"/>
          <w:u w:val="single"/>
        </w:rPr>
      </w:pPr>
      <w:r>
        <w:rPr>
          <w:rFonts w:ascii="Arial" w:hAnsi="Arial" w:cs="Arial"/>
          <w:sz w:val="22"/>
          <w:szCs w:val="22"/>
        </w:rPr>
        <w:t>There is a NHS Stockport Policy in place that would preclude the use of the drug/preparation routinely</w:t>
      </w:r>
      <w:r w:rsidR="00F319FE">
        <w:rPr>
          <w:rFonts w:ascii="Arial" w:hAnsi="Arial" w:cs="Arial"/>
          <w:sz w:val="22"/>
          <w:szCs w:val="22"/>
        </w:rPr>
        <w:t xml:space="preserve"> including listing as Do Not Prescribe by GMMMG</w:t>
      </w:r>
    </w:p>
    <w:p w:rsidR="00AF1C34" w:rsidRPr="00AF1C34" w:rsidRDefault="00AF1C34" w:rsidP="00197B96">
      <w:pPr>
        <w:pStyle w:val="ListParagraph"/>
        <w:numPr>
          <w:ilvl w:val="0"/>
          <w:numId w:val="2"/>
        </w:numPr>
        <w:spacing w:before="120" w:after="120"/>
        <w:ind w:left="567" w:hanging="425"/>
        <w:jc w:val="both"/>
        <w:rPr>
          <w:rFonts w:ascii="Arial" w:hAnsi="Arial" w:cs="Arial"/>
          <w:sz w:val="22"/>
          <w:szCs w:val="22"/>
          <w:u w:val="single"/>
        </w:rPr>
      </w:pPr>
      <w:r w:rsidRPr="008E09AA">
        <w:rPr>
          <w:rFonts w:ascii="Arial" w:hAnsi="Arial" w:cs="Arial"/>
          <w:sz w:val="22"/>
          <w:szCs w:val="22"/>
        </w:rPr>
        <w:t>The drug has an</w:t>
      </w:r>
      <w:r>
        <w:rPr>
          <w:rFonts w:ascii="Arial" w:hAnsi="Arial" w:cs="Arial"/>
          <w:sz w:val="22"/>
          <w:szCs w:val="22"/>
        </w:rPr>
        <w:t xml:space="preserve"> absolute ‘not recommended’ position allocated by </w:t>
      </w:r>
      <w:r w:rsidRPr="008E09AA">
        <w:rPr>
          <w:rFonts w:ascii="Arial" w:hAnsi="Arial" w:cs="Arial"/>
          <w:sz w:val="22"/>
          <w:szCs w:val="22"/>
        </w:rPr>
        <w:t>NTS from January 2011 as it has limited clinical effectiveness (and data is against placebo) or cost effectiveness data.</w:t>
      </w:r>
    </w:p>
    <w:p w:rsidR="00AF1C34" w:rsidRPr="00AF1C34" w:rsidRDefault="00AF1C34" w:rsidP="00197B96">
      <w:pPr>
        <w:pStyle w:val="ListParagraph"/>
        <w:numPr>
          <w:ilvl w:val="0"/>
          <w:numId w:val="2"/>
        </w:numPr>
        <w:spacing w:before="120" w:after="120"/>
        <w:ind w:left="567" w:hanging="425"/>
        <w:jc w:val="both"/>
        <w:rPr>
          <w:rFonts w:ascii="Arial" w:hAnsi="Arial" w:cs="Arial"/>
          <w:sz w:val="22"/>
          <w:szCs w:val="22"/>
          <w:u w:val="single"/>
        </w:rPr>
      </w:pPr>
      <w:r>
        <w:rPr>
          <w:rFonts w:ascii="Arial" w:hAnsi="Arial" w:cs="Arial"/>
          <w:sz w:val="22"/>
          <w:szCs w:val="22"/>
        </w:rPr>
        <w:t>T</w:t>
      </w:r>
      <w:r w:rsidRPr="008E09AA">
        <w:rPr>
          <w:rFonts w:ascii="Arial" w:hAnsi="Arial" w:cs="Arial"/>
          <w:sz w:val="22"/>
          <w:szCs w:val="22"/>
        </w:rPr>
        <w:t>here is no instance where this drug</w:t>
      </w:r>
      <w:r>
        <w:rPr>
          <w:rFonts w:ascii="Arial" w:hAnsi="Arial" w:cs="Arial"/>
          <w:sz w:val="22"/>
          <w:szCs w:val="22"/>
        </w:rPr>
        <w:t>/ preparation</w:t>
      </w:r>
      <w:r w:rsidRPr="008E09AA">
        <w:rPr>
          <w:rFonts w:ascii="Arial" w:hAnsi="Arial" w:cs="Arial"/>
          <w:sz w:val="22"/>
          <w:szCs w:val="22"/>
        </w:rPr>
        <w:t xml:space="preserve"> would be appropriate to use from a safety or efficacy point of view, over existing treatments.  This may mean there are no further drug options for that patient group*</w:t>
      </w:r>
      <w:r>
        <w:rPr>
          <w:rFonts w:ascii="Arial" w:hAnsi="Arial" w:cs="Arial"/>
          <w:sz w:val="22"/>
          <w:szCs w:val="22"/>
        </w:rPr>
        <w:t xml:space="preserve"> ( if this is not the case consider statement 10</w:t>
      </w:r>
      <w:r w:rsidR="0032704F">
        <w:rPr>
          <w:rFonts w:ascii="Arial" w:hAnsi="Arial" w:cs="Arial"/>
          <w:sz w:val="22"/>
          <w:szCs w:val="22"/>
        </w:rPr>
        <w:t>)</w:t>
      </w:r>
    </w:p>
    <w:p w:rsidR="00AF1C34" w:rsidRPr="00AF1C34" w:rsidRDefault="00AF1C34" w:rsidP="00197B96">
      <w:pPr>
        <w:pStyle w:val="ListParagraph"/>
        <w:numPr>
          <w:ilvl w:val="0"/>
          <w:numId w:val="2"/>
        </w:numPr>
        <w:spacing w:before="120" w:after="120"/>
        <w:ind w:left="567" w:hanging="425"/>
        <w:jc w:val="both"/>
        <w:rPr>
          <w:rFonts w:ascii="Arial" w:hAnsi="Arial" w:cs="Arial"/>
          <w:sz w:val="22"/>
          <w:szCs w:val="22"/>
          <w:u w:val="single"/>
        </w:rPr>
      </w:pPr>
      <w:r w:rsidRPr="008E09AA">
        <w:rPr>
          <w:rFonts w:ascii="Arial" w:hAnsi="Arial" w:cs="Arial"/>
          <w:sz w:val="22"/>
          <w:szCs w:val="22"/>
        </w:rPr>
        <w:t>There are more appropriate evidence based alternative(s) available that means this drug</w:t>
      </w:r>
      <w:r>
        <w:rPr>
          <w:rFonts w:ascii="Arial" w:hAnsi="Arial" w:cs="Arial"/>
          <w:sz w:val="22"/>
          <w:szCs w:val="22"/>
        </w:rPr>
        <w:t>/ preparation</w:t>
      </w:r>
      <w:r w:rsidRPr="008E09AA">
        <w:rPr>
          <w:rFonts w:ascii="Arial" w:hAnsi="Arial" w:cs="Arial"/>
          <w:sz w:val="22"/>
          <w:szCs w:val="22"/>
        </w:rPr>
        <w:t xml:space="preserve"> should not be prescribed in any situation*</w:t>
      </w:r>
      <w:r w:rsidR="00F319FE">
        <w:rPr>
          <w:rFonts w:ascii="Arial" w:hAnsi="Arial" w:cs="Arial"/>
          <w:sz w:val="22"/>
          <w:szCs w:val="22"/>
        </w:rPr>
        <w:t xml:space="preserve"> or drug has a grey listing on the GMMMG DNP and Grey list.</w:t>
      </w:r>
    </w:p>
    <w:p w:rsidR="00AF1C34" w:rsidRPr="00AF1C34" w:rsidRDefault="00AF1C34" w:rsidP="00197B96">
      <w:pPr>
        <w:pStyle w:val="ListParagraph"/>
        <w:numPr>
          <w:ilvl w:val="0"/>
          <w:numId w:val="2"/>
        </w:numPr>
        <w:spacing w:before="120" w:after="120"/>
        <w:ind w:left="567" w:hanging="425"/>
        <w:jc w:val="both"/>
        <w:rPr>
          <w:rFonts w:ascii="Arial" w:hAnsi="Arial" w:cs="Arial"/>
          <w:sz w:val="22"/>
          <w:szCs w:val="22"/>
          <w:u w:val="single"/>
        </w:rPr>
      </w:pPr>
      <w:r w:rsidRPr="008E09AA">
        <w:rPr>
          <w:rFonts w:ascii="Arial" w:hAnsi="Arial" w:cs="Arial"/>
          <w:sz w:val="22"/>
          <w:szCs w:val="22"/>
        </w:rPr>
        <w:t xml:space="preserve">The evidence base is so poor that </w:t>
      </w:r>
      <w:r>
        <w:rPr>
          <w:rFonts w:ascii="Arial" w:hAnsi="Arial" w:cs="Arial"/>
          <w:sz w:val="22"/>
          <w:szCs w:val="22"/>
        </w:rPr>
        <w:t xml:space="preserve">it would not be an </w:t>
      </w:r>
      <w:r w:rsidRPr="008E09AA">
        <w:rPr>
          <w:rFonts w:ascii="Arial" w:hAnsi="Arial" w:cs="Arial"/>
          <w:sz w:val="22"/>
          <w:szCs w:val="22"/>
        </w:rPr>
        <w:t>appropriate use of NHS resources to prescribe this drug</w:t>
      </w:r>
      <w:r>
        <w:rPr>
          <w:rFonts w:ascii="Arial" w:hAnsi="Arial" w:cs="Arial"/>
          <w:sz w:val="22"/>
          <w:szCs w:val="22"/>
        </w:rPr>
        <w:t>/ preparation</w:t>
      </w:r>
      <w:r w:rsidRPr="008E09AA">
        <w:rPr>
          <w:rFonts w:ascii="Arial" w:hAnsi="Arial" w:cs="Arial"/>
          <w:sz w:val="22"/>
          <w:szCs w:val="22"/>
        </w:rPr>
        <w:t xml:space="preserve"> in any situation. Thi</w:t>
      </w:r>
      <w:r>
        <w:rPr>
          <w:rFonts w:ascii="Arial" w:hAnsi="Arial" w:cs="Arial"/>
          <w:sz w:val="22"/>
          <w:szCs w:val="22"/>
        </w:rPr>
        <w:t>s</w:t>
      </w:r>
      <w:r w:rsidRPr="008E09AA">
        <w:rPr>
          <w:rFonts w:ascii="Arial" w:hAnsi="Arial" w:cs="Arial"/>
          <w:sz w:val="22"/>
          <w:szCs w:val="22"/>
        </w:rPr>
        <w:t xml:space="preserve"> include</w:t>
      </w:r>
      <w:r>
        <w:rPr>
          <w:rFonts w:ascii="Arial" w:hAnsi="Arial" w:cs="Arial"/>
          <w:sz w:val="22"/>
          <w:szCs w:val="22"/>
        </w:rPr>
        <w:t>s a</w:t>
      </w:r>
      <w:r w:rsidRPr="008E09AA">
        <w:rPr>
          <w:rFonts w:ascii="Arial" w:hAnsi="Arial" w:cs="Arial"/>
          <w:sz w:val="22"/>
          <w:szCs w:val="22"/>
        </w:rPr>
        <w:t xml:space="preserve"> lack of robust, published phase </w:t>
      </w:r>
      <w:r>
        <w:rPr>
          <w:rFonts w:ascii="Arial" w:hAnsi="Arial" w:cs="Arial"/>
          <w:sz w:val="22"/>
          <w:szCs w:val="22"/>
        </w:rPr>
        <w:t xml:space="preserve">III RCTs, weak evidence, </w:t>
      </w:r>
      <w:r w:rsidRPr="008E09AA">
        <w:rPr>
          <w:rFonts w:ascii="Arial" w:hAnsi="Arial" w:cs="Arial"/>
          <w:sz w:val="22"/>
          <w:szCs w:val="22"/>
        </w:rPr>
        <w:t>such as limited benefit in trials against placebo or opinion only*</w:t>
      </w:r>
    </w:p>
    <w:p w:rsidR="00AF1C34" w:rsidRPr="00AF1C34" w:rsidRDefault="00AF1C34" w:rsidP="00197B96">
      <w:pPr>
        <w:pStyle w:val="ListParagraph"/>
        <w:numPr>
          <w:ilvl w:val="0"/>
          <w:numId w:val="2"/>
        </w:numPr>
        <w:spacing w:before="120" w:after="120"/>
        <w:ind w:left="567" w:hanging="425"/>
        <w:jc w:val="both"/>
        <w:rPr>
          <w:rFonts w:ascii="Arial" w:hAnsi="Arial" w:cs="Arial"/>
          <w:sz w:val="22"/>
          <w:szCs w:val="22"/>
          <w:u w:val="single"/>
        </w:rPr>
      </w:pPr>
      <w:r w:rsidRPr="008E09AA">
        <w:rPr>
          <w:rFonts w:ascii="Arial" w:hAnsi="Arial" w:cs="Arial"/>
          <w:sz w:val="22"/>
          <w:szCs w:val="22"/>
        </w:rPr>
        <w:t>There is sufficient concern over safety that it is not appropriate for this drug to be prescribed*</w:t>
      </w:r>
    </w:p>
    <w:p w:rsidR="00AF1C34" w:rsidRPr="00AF1C34" w:rsidRDefault="00AF1C34" w:rsidP="00197B96">
      <w:pPr>
        <w:pStyle w:val="ListParagraph"/>
        <w:numPr>
          <w:ilvl w:val="0"/>
          <w:numId w:val="2"/>
        </w:numPr>
        <w:spacing w:before="120" w:after="120"/>
        <w:ind w:left="567" w:hanging="425"/>
        <w:jc w:val="both"/>
        <w:rPr>
          <w:rFonts w:ascii="Arial" w:hAnsi="Arial" w:cs="Arial"/>
          <w:sz w:val="22"/>
          <w:szCs w:val="22"/>
          <w:u w:val="single"/>
        </w:rPr>
      </w:pPr>
      <w:r w:rsidRPr="008E09AA">
        <w:rPr>
          <w:rFonts w:ascii="Arial" w:hAnsi="Arial" w:cs="Arial"/>
          <w:sz w:val="22"/>
          <w:szCs w:val="22"/>
        </w:rPr>
        <w:t xml:space="preserve">There is a </w:t>
      </w:r>
      <w:r w:rsidR="00363129">
        <w:rPr>
          <w:rFonts w:ascii="Arial" w:hAnsi="Arial" w:cs="Arial"/>
          <w:sz w:val="22"/>
          <w:szCs w:val="22"/>
        </w:rPr>
        <w:t xml:space="preserve">DO NOT Do statement in a NICE guideline or a </w:t>
      </w:r>
      <w:r w:rsidRPr="008E09AA">
        <w:rPr>
          <w:rFonts w:ascii="Arial" w:hAnsi="Arial" w:cs="Arial"/>
          <w:sz w:val="22"/>
          <w:szCs w:val="22"/>
        </w:rPr>
        <w:t>negative NICE Technology Appraisal not recommending its use.  If NICE has not considered a drug then SMC and AWMSG decisions can be considered.</w:t>
      </w:r>
    </w:p>
    <w:p w:rsidR="00AF1C34" w:rsidRPr="00AF1C34" w:rsidRDefault="00AF1C34" w:rsidP="00197B96">
      <w:pPr>
        <w:pStyle w:val="ListParagraph"/>
        <w:numPr>
          <w:ilvl w:val="0"/>
          <w:numId w:val="2"/>
        </w:numPr>
        <w:spacing w:before="120" w:after="120"/>
        <w:ind w:left="567" w:hanging="425"/>
        <w:jc w:val="both"/>
        <w:rPr>
          <w:rFonts w:ascii="Arial" w:hAnsi="Arial" w:cs="Arial"/>
          <w:sz w:val="22"/>
          <w:szCs w:val="22"/>
          <w:u w:val="single"/>
        </w:rPr>
      </w:pPr>
      <w:r w:rsidRPr="008E09AA">
        <w:rPr>
          <w:rFonts w:ascii="Arial" w:hAnsi="Arial" w:cs="Arial"/>
          <w:sz w:val="22"/>
          <w:szCs w:val="22"/>
        </w:rPr>
        <w:t>The drug is a ‘me too’ drug that doesn’t offer any additional proven benefit over the existing drug or other therapies</w:t>
      </w:r>
    </w:p>
    <w:p w:rsidR="00AF1C34" w:rsidRPr="00AF1C34" w:rsidRDefault="00AF1C34" w:rsidP="00197B96">
      <w:pPr>
        <w:pStyle w:val="ListParagraph"/>
        <w:numPr>
          <w:ilvl w:val="0"/>
          <w:numId w:val="2"/>
        </w:numPr>
        <w:spacing w:before="120" w:after="120"/>
        <w:ind w:left="567" w:hanging="425"/>
        <w:jc w:val="both"/>
        <w:rPr>
          <w:rFonts w:ascii="Arial" w:hAnsi="Arial" w:cs="Arial"/>
          <w:sz w:val="22"/>
          <w:szCs w:val="22"/>
          <w:u w:val="single"/>
        </w:rPr>
      </w:pPr>
      <w:r w:rsidRPr="008E09AA">
        <w:rPr>
          <w:rFonts w:ascii="Arial" w:hAnsi="Arial" w:cs="Arial"/>
          <w:sz w:val="22"/>
          <w:szCs w:val="22"/>
        </w:rPr>
        <w:t>The drug is considered by the BNF Joint Formulary Committee to be less suitable for prescribing</w:t>
      </w:r>
    </w:p>
    <w:p w:rsidR="00AF1C34" w:rsidRPr="00AF1C34" w:rsidRDefault="00AF1C34" w:rsidP="00197B96">
      <w:pPr>
        <w:pStyle w:val="ListParagraph"/>
        <w:numPr>
          <w:ilvl w:val="0"/>
          <w:numId w:val="2"/>
        </w:numPr>
        <w:spacing w:before="120" w:after="120"/>
        <w:ind w:left="567" w:hanging="425"/>
        <w:jc w:val="both"/>
        <w:rPr>
          <w:rFonts w:ascii="Arial" w:hAnsi="Arial" w:cs="Arial"/>
          <w:sz w:val="22"/>
          <w:szCs w:val="22"/>
          <w:u w:val="single"/>
        </w:rPr>
      </w:pPr>
      <w:r w:rsidRPr="008E09AA">
        <w:rPr>
          <w:rFonts w:ascii="Arial" w:hAnsi="Arial" w:cs="Arial"/>
          <w:sz w:val="22"/>
          <w:szCs w:val="22"/>
        </w:rPr>
        <w:t>STAMP considers that there is a only a narrow, defined place for use of the drug</w:t>
      </w:r>
      <w:r>
        <w:rPr>
          <w:rFonts w:ascii="Arial" w:hAnsi="Arial" w:cs="Arial"/>
          <w:sz w:val="22"/>
          <w:szCs w:val="22"/>
        </w:rPr>
        <w:t>/ preparation</w:t>
      </w:r>
      <w:r w:rsidRPr="00AF1C34">
        <w:rPr>
          <w:rFonts w:ascii="Arial" w:hAnsi="Arial" w:cs="Arial"/>
          <w:i/>
          <w:sz w:val="22"/>
          <w:szCs w:val="22"/>
        </w:rPr>
        <w:t>.(Such drugs will be grey listed to allow use within this defined situation)</w:t>
      </w:r>
    </w:p>
    <w:p w:rsidR="00A95678" w:rsidRPr="00C54C31" w:rsidRDefault="00A95678" w:rsidP="00585E4D">
      <w:pPr>
        <w:spacing w:before="120"/>
        <w:jc w:val="both"/>
        <w:rPr>
          <w:rFonts w:ascii="Arial" w:hAnsi="Arial" w:cs="Arial"/>
          <w:bCs/>
          <w:iCs/>
          <w:color w:val="000000"/>
          <w:sz w:val="16"/>
          <w:szCs w:val="16"/>
          <w:lang w:eastAsia="en-GB"/>
        </w:rPr>
      </w:pPr>
      <w:r w:rsidRPr="007134DE">
        <w:rPr>
          <w:rFonts w:ascii="Arial" w:hAnsi="Arial" w:cs="Arial"/>
          <w:sz w:val="16"/>
          <w:szCs w:val="16"/>
        </w:rPr>
        <w:t xml:space="preserve">* Whilst prescribers should think very carefully before prescribing or recommending any of the DNP products, there may be exceptional instances when the use of one of these products is necessary for a particular patient. </w:t>
      </w:r>
      <w:r w:rsidRPr="007134DE">
        <w:rPr>
          <w:rFonts w:ascii="Arial" w:hAnsi="Arial" w:cs="Arial"/>
          <w:bCs/>
          <w:iCs/>
          <w:color w:val="000000"/>
          <w:sz w:val="16"/>
          <w:szCs w:val="16"/>
          <w:lang w:eastAsia="en-GB"/>
        </w:rPr>
        <w:t>A patient may be deemed exceptional if the patient has a clinical picture that is significantly different to the general population of patients with that condition and</w:t>
      </w:r>
      <w:r w:rsidR="00197B96">
        <w:rPr>
          <w:rFonts w:ascii="Arial" w:hAnsi="Arial" w:cs="Arial"/>
          <w:bCs/>
          <w:iCs/>
          <w:color w:val="000000"/>
          <w:sz w:val="16"/>
          <w:szCs w:val="16"/>
          <w:lang w:eastAsia="en-GB"/>
        </w:rPr>
        <w:t xml:space="preserve"> as a result of that difference</w:t>
      </w:r>
      <w:r w:rsidRPr="007134DE">
        <w:rPr>
          <w:rFonts w:ascii="Arial" w:hAnsi="Arial" w:cs="Arial"/>
          <w:bCs/>
          <w:iCs/>
          <w:color w:val="000000"/>
          <w:sz w:val="16"/>
          <w:szCs w:val="16"/>
          <w:lang w:eastAsia="en-GB"/>
        </w:rPr>
        <w:t xml:space="preserve"> the patient is likely to derive greater benefit from the intervention than might normally be expected for patients with that condition.</w:t>
      </w:r>
      <w:r>
        <w:rPr>
          <w:rFonts w:ascii="Arial" w:hAnsi="Arial" w:cs="Arial"/>
          <w:bCs/>
          <w:iCs/>
          <w:color w:val="000000"/>
          <w:sz w:val="16"/>
          <w:szCs w:val="16"/>
          <w:lang w:eastAsia="en-GB"/>
        </w:rPr>
        <w:t xml:space="preserve"> Before prescribing clinicians should seek approval to prescribe from the CCG to ensure the CCG agrees the exceptionality and approves prescribing outside of the policy</w:t>
      </w:r>
    </w:p>
    <w:p w:rsidR="007134DE" w:rsidRDefault="007134DE" w:rsidP="0003114C">
      <w:pPr>
        <w:jc w:val="both"/>
        <w:rPr>
          <w:rFonts w:ascii="Arial" w:hAnsi="Arial" w:cs="Arial"/>
          <w:sz w:val="16"/>
          <w:szCs w:val="16"/>
        </w:rPr>
      </w:pPr>
    </w:p>
    <w:p w:rsidR="00043B06" w:rsidRPr="00AF1C34" w:rsidRDefault="0032704F" w:rsidP="00043B06">
      <w:pPr>
        <w:spacing w:after="120"/>
        <w:jc w:val="both"/>
        <w:rPr>
          <w:rFonts w:ascii="Arial" w:hAnsi="Arial" w:cs="Arial"/>
          <w:sz w:val="20"/>
          <w:szCs w:val="20"/>
        </w:rPr>
      </w:pPr>
      <w:r>
        <w:rPr>
          <w:rFonts w:ascii="Arial" w:hAnsi="Arial" w:cs="Arial"/>
          <w:sz w:val="20"/>
          <w:szCs w:val="20"/>
        </w:rPr>
        <w:t>Criteria for blacklisting</w:t>
      </w:r>
      <w:r w:rsidR="00187BDF">
        <w:rPr>
          <w:rFonts w:ascii="Arial" w:hAnsi="Arial" w:cs="Arial"/>
          <w:sz w:val="20"/>
          <w:szCs w:val="20"/>
        </w:rPr>
        <w:t xml:space="preserve"> 1</w:t>
      </w:r>
      <w:r w:rsidR="00187BDF">
        <w:rPr>
          <w:rFonts w:ascii="Arial" w:hAnsi="Arial" w:cs="Arial"/>
          <w:sz w:val="20"/>
          <w:szCs w:val="20"/>
        </w:rPr>
        <w:tab/>
      </w:r>
      <w:r w:rsidR="00187BDF">
        <w:rPr>
          <w:rFonts w:ascii="Arial" w:hAnsi="Arial" w:cs="Arial"/>
          <w:sz w:val="20"/>
          <w:szCs w:val="20"/>
        </w:rPr>
        <w:tab/>
      </w:r>
      <w:r>
        <w:rPr>
          <w:rFonts w:ascii="Arial" w:hAnsi="Arial" w:cs="Arial"/>
          <w:sz w:val="20"/>
          <w:szCs w:val="20"/>
        </w:rPr>
        <w:tab/>
      </w:r>
      <w:r>
        <w:rPr>
          <w:rFonts w:ascii="Arial" w:hAnsi="Arial" w:cs="Arial"/>
          <w:sz w:val="20"/>
          <w:szCs w:val="20"/>
        </w:rPr>
        <w:tab/>
      </w:r>
      <w:r w:rsidR="00043B06" w:rsidRPr="00AF1C34">
        <w:rPr>
          <w:rFonts w:ascii="Arial" w:hAnsi="Arial" w:cs="Arial"/>
          <w:sz w:val="20"/>
          <w:szCs w:val="20"/>
        </w:rPr>
        <w:t>Date STAMP reviewed</w:t>
      </w:r>
      <w:r w:rsidR="002B6612">
        <w:rPr>
          <w:rFonts w:ascii="Arial" w:hAnsi="Arial" w:cs="Arial"/>
          <w:sz w:val="20"/>
          <w:szCs w:val="20"/>
        </w:rPr>
        <w:t xml:space="preserve"> June 1</w:t>
      </w:r>
      <w:r w:rsidR="002B6612" w:rsidRPr="002B6612">
        <w:rPr>
          <w:rFonts w:ascii="Arial" w:hAnsi="Arial" w:cs="Arial"/>
          <w:sz w:val="20"/>
          <w:szCs w:val="20"/>
          <w:vertAlign w:val="superscript"/>
        </w:rPr>
        <w:t>st</w:t>
      </w:r>
      <w:r w:rsidR="002B6612">
        <w:rPr>
          <w:rFonts w:ascii="Arial" w:hAnsi="Arial" w:cs="Arial"/>
          <w:sz w:val="20"/>
          <w:szCs w:val="20"/>
        </w:rPr>
        <w:t xml:space="preserve"> 2016</w:t>
      </w:r>
    </w:p>
    <w:p w:rsidR="00C86AF3" w:rsidRPr="00AF1C34" w:rsidRDefault="00AF1C34" w:rsidP="00043B06">
      <w:pPr>
        <w:spacing w:after="120"/>
        <w:jc w:val="both"/>
        <w:rPr>
          <w:rFonts w:ascii="Arial" w:hAnsi="Arial" w:cs="Arial"/>
          <w:sz w:val="20"/>
          <w:szCs w:val="20"/>
          <w:u w:val="single"/>
        </w:rPr>
      </w:pPr>
      <w:r>
        <w:rPr>
          <w:rFonts w:ascii="Arial" w:hAnsi="Arial" w:cs="Arial"/>
          <w:sz w:val="20"/>
          <w:szCs w:val="20"/>
          <w:u w:val="single"/>
        </w:rPr>
        <w:t>Review outcome</w:t>
      </w:r>
    </w:p>
    <w:p w:rsidR="005C14E5" w:rsidRPr="008E09AA" w:rsidRDefault="005C14E5" w:rsidP="00043B06">
      <w:pPr>
        <w:spacing w:after="120"/>
        <w:jc w:val="both"/>
        <w:rPr>
          <w:rFonts w:ascii="Arial" w:hAnsi="Arial" w:cs="Arial"/>
          <w:sz w:val="22"/>
          <w:szCs w:val="22"/>
        </w:rPr>
      </w:pPr>
      <w:r w:rsidRPr="008E09AA">
        <w:rPr>
          <w:rFonts w:ascii="Arial" w:hAnsi="Arial" w:cs="Arial"/>
          <w:sz w:val="22"/>
          <w:szCs w:val="22"/>
        </w:rPr>
        <w:t xml:space="preserve">Approved for Black </w:t>
      </w:r>
      <w:r w:rsidR="009D7813">
        <w:rPr>
          <w:rFonts w:ascii="Arial" w:hAnsi="Arial" w:cs="Arial"/>
          <w:sz w:val="22"/>
          <w:szCs w:val="22"/>
        </w:rPr>
        <w:t>Listing</w:t>
      </w:r>
      <w:r w:rsidR="009D7813">
        <w:rPr>
          <w:rFonts w:ascii="Arial" w:hAnsi="Arial" w:cs="Arial"/>
          <w:sz w:val="22"/>
          <w:szCs w:val="22"/>
        </w:rPr>
        <w:tab/>
      </w:r>
      <w:r w:rsidR="009D7813">
        <w:rPr>
          <w:rFonts w:ascii="Arial" w:hAnsi="Arial" w:cs="Arial"/>
          <w:sz w:val="22"/>
          <w:szCs w:val="22"/>
        </w:rPr>
        <w:tab/>
      </w:r>
      <w:r w:rsidR="009D7813">
        <w:rPr>
          <w:rFonts w:ascii="Arial" w:hAnsi="Arial" w:cs="Arial"/>
          <w:sz w:val="22"/>
          <w:szCs w:val="22"/>
        </w:rPr>
        <w:tab/>
      </w:r>
      <w:r w:rsidR="00A44DCE">
        <w:rPr>
          <w:rFonts w:ascii="Arial" w:hAnsi="Arial" w:cs="Arial"/>
          <w:sz w:val="22"/>
          <w:szCs w:val="22"/>
        </w:rPr>
        <w:t>Yes</w:t>
      </w:r>
      <w:r w:rsidR="00D4148D">
        <w:rPr>
          <w:rFonts w:ascii="Arial" w:hAnsi="Arial" w:cs="Arial"/>
          <w:sz w:val="22"/>
          <w:szCs w:val="22"/>
        </w:rPr>
        <w:tab/>
      </w:r>
      <w:r w:rsidR="00D4148D">
        <w:rPr>
          <w:rFonts w:ascii="Arial" w:hAnsi="Arial" w:cs="Arial"/>
          <w:sz w:val="22"/>
          <w:szCs w:val="22"/>
        </w:rPr>
        <w:tab/>
        <w:t xml:space="preserve"> </w:t>
      </w:r>
    </w:p>
    <w:p w:rsidR="005C14E5" w:rsidRPr="008E09AA" w:rsidRDefault="005C14E5" w:rsidP="00043B06">
      <w:pPr>
        <w:spacing w:after="120"/>
        <w:jc w:val="both"/>
        <w:rPr>
          <w:rFonts w:ascii="Arial" w:hAnsi="Arial" w:cs="Arial"/>
          <w:sz w:val="22"/>
          <w:szCs w:val="22"/>
        </w:rPr>
      </w:pPr>
      <w:r w:rsidRPr="008E09AA">
        <w:rPr>
          <w:rFonts w:ascii="Arial" w:hAnsi="Arial" w:cs="Arial"/>
          <w:sz w:val="22"/>
          <w:szCs w:val="22"/>
        </w:rPr>
        <w:t>Approved for Grey Listing</w:t>
      </w:r>
      <w:r w:rsidRPr="008E09AA">
        <w:rPr>
          <w:rFonts w:ascii="Arial" w:hAnsi="Arial" w:cs="Arial"/>
          <w:sz w:val="22"/>
          <w:szCs w:val="22"/>
        </w:rPr>
        <w:tab/>
      </w:r>
      <w:r w:rsidR="0063267F" w:rsidRPr="008E09AA">
        <w:rPr>
          <w:rFonts w:ascii="Arial" w:hAnsi="Arial" w:cs="Arial"/>
          <w:sz w:val="22"/>
          <w:szCs w:val="22"/>
        </w:rPr>
        <w:tab/>
      </w:r>
      <w:r w:rsidR="0063267F" w:rsidRPr="008E09AA">
        <w:rPr>
          <w:rFonts w:ascii="Arial" w:hAnsi="Arial" w:cs="Arial"/>
          <w:sz w:val="22"/>
          <w:szCs w:val="22"/>
        </w:rPr>
        <w:tab/>
      </w:r>
      <w:r w:rsidR="00A44DCE">
        <w:rPr>
          <w:rFonts w:ascii="Arial" w:hAnsi="Arial" w:cs="Arial"/>
          <w:sz w:val="22"/>
          <w:szCs w:val="22"/>
        </w:rPr>
        <w:t>No</w:t>
      </w:r>
    </w:p>
    <w:p w:rsidR="00A44DCE" w:rsidRDefault="005C14E5" w:rsidP="00043B06">
      <w:pPr>
        <w:spacing w:after="120"/>
        <w:jc w:val="both"/>
        <w:rPr>
          <w:rFonts w:ascii="Arial" w:hAnsi="Arial" w:cs="Arial"/>
          <w:sz w:val="22"/>
          <w:szCs w:val="22"/>
        </w:rPr>
      </w:pPr>
      <w:r w:rsidRPr="008E09AA">
        <w:rPr>
          <w:rFonts w:ascii="Arial" w:hAnsi="Arial" w:cs="Arial"/>
          <w:sz w:val="22"/>
          <w:szCs w:val="22"/>
        </w:rPr>
        <w:t>Criteria for permissible grey list use</w:t>
      </w:r>
      <w:r w:rsidR="002F61F9">
        <w:rPr>
          <w:rFonts w:ascii="Arial" w:hAnsi="Arial" w:cs="Arial"/>
          <w:sz w:val="22"/>
          <w:szCs w:val="22"/>
        </w:rPr>
        <w:t xml:space="preserve">: </w:t>
      </w:r>
      <w:r w:rsidR="00A44DCE">
        <w:rPr>
          <w:rFonts w:ascii="Arial" w:hAnsi="Arial" w:cs="Arial"/>
          <w:sz w:val="22"/>
          <w:szCs w:val="22"/>
        </w:rPr>
        <w:t xml:space="preserve"> Not applicable</w:t>
      </w:r>
    </w:p>
    <w:p w:rsidR="005C14E5" w:rsidRPr="008E09AA" w:rsidRDefault="00043B06" w:rsidP="00043B06">
      <w:pPr>
        <w:spacing w:after="120"/>
        <w:jc w:val="both"/>
        <w:rPr>
          <w:rFonts w:ascii="Arial" w:hAnsi="Arial" w:cs="Arial"/>
          <w:sz w:val="22"/>
          <w:szCs w:val="22"/>
        </w:rPr>
      </w:pPr>
      <w:r w:rsidRPr="008E09AA">
        <w:rPr>
          <w:rFonts w:ascii="Arial" w:hAnsi="Arial" w:cs="Arial"/>
          <w:sz w:val="22"/>
          <w:szCs w:val="22"/>
        </w:rPr>
        <w:t xml:space="preserve">Outcome </w:t>
      </w:r>
      <w:r w:rsidR="00C83C20" w:rsidRPr="008E09AA">
        <w:rPr>
          <w:rFonts w:ascii="Arial" w:hAnsi="Arial" w:cs="Arial"/>
          <w:sz w:val="22"/>
          <w:szCs w:val="22"/>
        </w:rPr>
        <w:t xml:space="preserve">confirmed </w:t>
      </w:r>
      <w:r w:rsidR="00AF1C34">
        <w:rPr>
          <w:rFonts w:ascii="Arial" w:hAnsi="Arial" w:cs="Arial"/>
          <w:sz w:val="22"/>
          <w:szCs w:val="22"/>
        </w:rPr>
        <w:t>on behalf of STAMP</w:t>
      </w:r>
      <w:r w:rsidR="0063267F" w:rsidRPr="008E09AA">
        <w:rPr>
          <w:rFonts w:ascii="Arial" w:hAnsi="Arial" w:cs="Arial"/>
          <w:sz w:val="22"/>
          <w:szCs w:val="22"/>
        </w:rPr>
        <w:t xml:space="preserve"> </w:t>
      </w:r>
      <w:r w:rsidR="008E0242">
        <w:rPr>
          <w:rFonts w:ascii="Arial" w:hAnsi="Arial" w:cs="Arial"/>
          <w:sz w:val="22"/>
          <w:szCs w:val="22"/>
        </w:rPr>
        <w:t>(Chair of meeting</w:t>
      </w:r>
      <w:r w:rsidR="00AF1C34">
        <w:rPr>
          <w:rFonts w:ascii="Arial" w:hAnsi="Arial" w:cs="Arial"/>
          <w:sz w:val="22"/>
          <w:szCs w:val="22"/>
        </w:rPr>
        <w:t>)</w:t>
      </w:r>
    </w:p>
    <w:p w:rsidR="00DA0247" w:rsidRPr="00363129" w:rsidRDefault="0063267F" w:rsidP="006A4D2D">
      <w:pPr>
        <w:spacing w:after="120"/>
        <w:jc w:val="both"/>
        <w:rPr>
          <w:rFonts w:ascii="Arial" w:hAnsi="Arial" w:cs="Arial"/>
          <w:sz w:val="22"/>
          <w:szCs w:val="22"/>
        </w:rPr>
      </w:pPr>
      <w:proofErr w:type="gramStart"/>
      <w:r w:rsidRPr="008E09AA">
        <w:rPr>
          <w:rFonts w:ascii="Arial" w:hAnsi="Arial" w:cs="Arial"/>
          <w:sz w:val="22"/>
          <w:szCs w:val="22"/>
        </w:rPr>
        <w:t>Signed</w:t>
      </w:r>
      <w:r w:rsidRPr="008E09AA">
        <w:rPr>
          <w:rFonts w:ascii="Arial" w:hAnsi="Arial" w:cs="Arial"/>
          <w:sz w:val="22"/>
          <w:szCs w:val="22"/>
        </w:rPr>
        <w:tab/>
      </w:r>
      <w:r w:rsidR="00AF1C34">
        <w:rPr>
          <w:rFonts w:ascii="Arial" w:hAnsi="Arial" w:cs="Arial"/>
          <w:sz w:val="22"/>
          <w:szCs w:val="22"/>
        </w:rPr>
        <w:t>.</w:t>
      </w:r>
      <w:proofErr w:type="gramEnd"/>
      <w:r w:rsidRPr="008E09AA">
        <w:rPr>
          <w:rFonts w:ascii="Arial" w:hAnsi="Arial" w:cs="Arial"/>
          <w:sz w:val="22"/>
          <w:szCs w:val="22"/>
        </w:rPr>
        <w:tab/>
      </w:r>
      <w:r w:rsidRPr="008E09AA">
        <w:rPr>
          <w:rFonts w:ascii="Arial" w:hAnsi="Arial" w:cs="Arial"/>
          <w:sz w:val="22"/>
          <w:szCs w:val="22"/>
        </w:rPr>
        <w:tab/>
      </w:r>
      <w:r w:rsidRPr="008E09AA">
        <w:rPr>
          <w:rFonts w:ascii="Arial" w:hAnsi="Arial" w:cs="Arial"/>
          <w:sz w:val="22"/>
          <w:szCs w:val="22"/>
        </w:rPr>
        <w:tab/>
      </w:r>
      <w:r w:rsidRPr="008E09AA">
        <w:rPr>
          <w:rFonts w:ascii="Arial" w:hAnsi="Arial" w:cs="Arial"/>
          <w:sz w:val="22"/>
          <w:szCs w:val="22"/>
        </w:rPr>
        <w:tab/>
        <w:t>Designation</w:t>
      </w:r>
    </w:p>
    <w:sectPr w:rsidR="00DA0247" w:rsidRPr="00363129" w:rsidSect="00AF1C34">
      <w:footerReference w:type="default" r:id="rId10"/>
      <w:pgSz w:w="11906" w:h="16838"/>
      <w:pgMar w:top="851" w:right="849"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D88" w:rsidRDefault="009B0D88">
      <w:r>
        <w:separator/>
      </w:r>
    </w:p>
  </w:endnote>
  <w:endnote w:type="continuationSeparator" w:id="0">
    <w:p w:rsidR="009B0D88" w:rsidRDefault="009B0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CD7" w:rsidRPr="00752913" w:rsidRDefault="00702CD7">
    <w:pPr>
      <w:pStyle w:val="Footer"/>
      <w:rPr>
        <w:rFonts w:ascii="Arial" w:hAnsi="Arial" w:cs="Arial"/>
        <w:sz w:val="16"/>
        <w:szCs w:val="16"/>
      </w:rPr>
    </w:pPr>
    <w:r w:rsidRPr="00752913">
      <w:rPr>
        <w:rFonts w:ascii="Arial" w:hAnsi="Arial" w:cs="Arial"/>
        <w:sz w:val="16"/>
        <w:szCs w:val="16"/>
      </w:rPr>
      <w:fldChar w:fldCharType="begin"/>
    </w:r>
    <w:r w:rsidRPr="00752913">
      <w:rPr>
        <w:rFonts w:ascii="Arial" w:hAnsi="Arial" w:cs="Arial"/>
        <w:sz w:val="16"/>
        <w:szCs w:val="16"/>
      </w:rPr>
      <w:instrText xml:space="preserve"> FILENAME  \p  \* MERGEFORMAT </w:instrText>
    </w:r>
    <w:r w:rsidRPr="00752913">
      <w:rPr>
        <w:rFonts w:ascii="Arial" w:hAnsi="Arial" w:cs="Arial"/>
        <w:sz w:val="16"/>
        <w:szCs w:val="16"/>
      </w:rPr>
      <w:fldChar w:fldCharType="separate"/>
    </w:r>
    <w:r w:rsidR="00C86AF3">
      <w:rPr>
        <w:rFonts w:ascii="Arial" w:hAnsi="Arial" w:cs="Arial"/>
        <w:noProof/>
        <w:sz w:val="16"/>
        <w:szCs w:val="16"/>
      </w:rPr>
      <w:t>T:\Medicines Optimisation\Policies, Protocols guidelines and procedures\Procedures\Consideration of items for inclusion in the Stockport C</w:t>
    </w:r>
    <w:r w:rsidR="00AF1C34">
      <w:rPr>
        <w:rFonts w:ascii="Arial" w:hAnsi="Arial" w:cs="Arial"/>
        <w:noProof/>
        <w:sz w:val="16"/>
        <w:szCs w:val="16"/>
      </w:rPr>
      <w:t>CG Black or Grey Lists v3 Nov 15</w:t>
    </w:r>
    <w:r w:rsidR="00C86AF3">
      <w:rPr>
        <w:rFonts w:ascii="Arial" w:hAnsi="Arial" w:cs="Arial"/>
        <w:noProof/>
        <w:sz w:val="16"/>
        <w:szCs w:val="16"/>
      </w:rPr>
      <w:t xml:space="preserve"> draft.docx</w:t>
    </w:r>
    <w:r w:rsidRPr="00752913">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D88" w:rsidRDefault="009B0D88">
      <w:r>
        <w:separator/>
      </w:r>
    </w:p>
  </w:footnote>
  <w:footnote w:type="continuationSeparator" w:id="0">
    <w:p w:rsidR="009B0D88" w:rsidRDefault="009B0D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3244D"/>
    <w:multiLevelType w:val="multilevel"/>
    <w:tmpl w:val="C5669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0EE02DD"/>
    <w:multiLevelType w:val="hybridMultilevel"/>
    <w:tmpl w:val="311A3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5A95770"/>
    <w:multiLevelType w:val="hybridMultilevel"/>
    <w:tmpl w:val="335A7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25A"/>
    <w:rsid w:val="00002F27"/>
    <w:rsid w:val="0003114C"/>
    <w:rsid w:val="00035F1F"/>
    <w:rsid w:val="00042540"/>
    <w:rsid w:val="00043B06"/>
    <w:rsid w:val="0005295F"/>
    <w:rsid w:val="00063F67"/>
    <w:rsid w:val="00181EB7"/>
    <w:rsid w:val="00187BDF"/>
    <w:rsid w:val="00197B96"/>
    <w:rsid w:val="00197E9F"/>
    <w:rsid w:val="0021028B"/>
    <w:rsid w:val="002B6612"/>
    <w:rsid w:val="002F61F9"/>
    <w:rsid w:val="0030398C"/>
    <w:rsid w:val="0032704F"/>
    <w:rsid w:val="003377DF"/>
    <w:rsid w:val="00363129"/>
    <w:rsid w:val="0037706C"/>
    <w:rsid w:val="003A12F0"/>
    <w:rsid w:val="003E4531"/>
    <w:rsid w:val="004306C8"/>
    <w:rsid w:val="004521D5"/>
    <w:rsid w:val="00480ACF"/>
    <w:rsid w:val="004A4102"/>
    <w:rsid w:val="00530FB4"/>
    <w:rsid w:val="00585E4D"/>
    <w:rsid w:val="005C14E5"/>
    <w:rsid w:val="0063267F"/>
    <w:rsid w:val="00682AC1"/>
    <w:rsid w:val="006A07C2"/>
    <w:rsid w:val="006A4D2D"/>
    <w:rsid w:val="00702CD7"/>
    <w:rsid w:val="007134DE"/>
    <w:rsid w:val="00737819"/>
    <w:rsid w:val="00752913"/>
    <w:rsid w:val="007E408A"/>
    <w:rsid w:val="00877B9F"/>
    <w:rsid w:val="008A62C5"/>
    <w:rsid w:val="008D3005"/>
    <w:rsid w:val="008E0242"/>
    <w:rsid w:val="008E09AA"/>
    <w:rsid w:val="009322E1"/>
    <w:rsid w:val="00943ABA"/>
    <w:rsid w:val="00962F77"/>
    <w:rsid w:val="0096551A"/>
    <w:rsid w:val="009A18EE"/>
    <w:rsid w:val="009B0AC5"/>
    <w:rsid w:val="009B0D88"/>
    <w:rsid w:val="009D7813"/>
    <w:rsid w:val="00A44DCE"/>
    <w:rsid w:val="00A6733A"/>
    <w:rsid w:val="00A95678"/>
    <w:rsid w:val="00AD280D"/>
    <w:rsid w:val="00AF1C34"/>
    <w:rsid w:val="00B423A1"/>
    <w:rsid w:val="00BB582C"/>
    <w:rsid w:val="00BC00F8"/>
    <w:rsid w:val="00C0760E"/>
    <w:rsid w:val="00C54C31"/>
    <w:rsid w:val="00C83C20"/>
    <w:rsid w:val="00C86AF3"/>
    <w:rsid w:val="00CB0318"/>
    <w:rsid w:val="00D4148D"/>
    <w:rsid w:val="00DA0247"/>
    <w:rsid w:val="00E57A61"/>
    <w:rsid w:val="00F05E80"/>
    <w:rsid w:val="00F2025A"/>
    <w:rsid w:val="00F319FE"/>
    <w:rsid w:val="00F3660F"/>
    <w:rsid w:val="00F37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025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202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035F1F"/>
    <w:rPr>
      <w:sz w:val="16"/>
      <w:szCs w:val="16"/>
    </w:rPr>
  </w:style>
  <w:style w:type="paragraph" w:styleId="CommentText">
    <w:name w:val="annotation text"/>
    <w:basedOn w:val="Normal"/>
    <w:semiHidden/>
    <w:rsid w:val="00035F1F"/>
    <w:rPr>
      <w:sz w:val="20"/>
      <w:szCs w:val="20"/>
    </w:rPr>
  </w:style>
  <w:style w:type="paragraph" w:styleId="CommentSubject">
    <w:name w:val="annotation subject"/>
    <w:basedOn w:val="CommentText"/>
    <w:next w:val="CommentText"/>
    <w:semiHidden/>
    <w:rsid w:val="00035F1F"/>
    <w:rPr>
      <w:b/>
      <w:bCs/>
    </w:rPr>
  </w:style>
  <w:style w:type="paragraph" w:styleId="BalloonText">
    <w:name w:val="Balloon Text"/>
    <w:basedOn w:val="Normal"/>
    <w:semiHidden/>
    <w:rsid w:val="00035F1F"/>
    <w:rPr>
      <w:rFonts w:ascii="Tahoma" w:hAnsi="Tahoma" w:cs="Tahoma"/>
      <w:sz w:val="16"/>
      <w:szCs w:val="16"/>
    </w:rPr>
  </w:style>
  <w:style w:type="paragraph" w:styleId="Header">
    <w:name w:val="header"/>
    <w:basedOn w:val="Normal"/>
    <w:rsid w:val="006A07C2"/>
    <w:pPr>
      <w:tabs>
        <w:tab w:val="center" w:pos="4153"/>
        <w:tab w:val="right" w:pos="8306"/>
      </w:tabs>
    </w:pPr>
  </w:style>
  <w:style w:type="paragraph" w:styleId="Footer">
    <w:name w:val="footer"/>
    <w:basedOn w:val="Normal"/>
    <w:rsid w:val="006A07C2"/>
    <w:pPr>
      <w:tabs>
        <w:tab w:val="center" w:pos="4153"/>
        <w:tab w:val="right" w:pos="8306"/>
      </w:tabs>
    </w:pPr>
  </w:style>
  <w:style w:type="paragraph" w:styleId="ListParagraph">
    <w:name w:val="List Paragraph"/>
    <w:basedOn w:val="Normal"/>
    <w:uiPriority w:val="34"/>
    <w:qFormat/>
    <w:rsid w:val="00043B06"/>
    <w:pPr>
      <w:ind w:left="720"/>
      <w:contextualSpacing/>
    </w:pPr>
  </w:style>
  <w:style w:type="paragraph" w:customStyle="1" w:styleId="Char">
    <w:name w:val="Char"/>
    <w:basedOn w:val="Normal"/>
    <w:rsid w:val="0063267F"/>
    <w:pPr>
      <w:spacing w:after="120" w:line="240" w:lineRule="exact"/>
    </w:pPr>
    <w:rPr>
      <w:rFonts w:ascii="Verdana"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025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202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035F1F"/>
    <w:rPr>
      <w:sz w:val="16"/>
      <w:szCs w:val="16"/>
    </w:rPr>
  </w:style>
  <w:style w:type="paragraph" w:styleId="CommentText">
    <w:name w:val="annotation text"/>
    <w:basedOn w:val="Normal"/>
    <w:semiHidden/>
    <w:rsid w:val="00035F1F"/>
    <w:rPr>
      <w:sz w:val="20"/>
      <w:szCs w:val="20"/>
    </w:rPr>
  </w:style>
  <w:style w:type="paragraph" w:styleId="CommentSubject">
    <w:name w:val="annotation subject"/>
    <w:basedOn w:val="CommentText"/>
    <w:next w:val="CommentText"/>
    <w:semiHidden/>
    <w:rsid w:val="00035F1F"/>
    <w:rPr>
      <w:b/>
      <w:bCs/>
    </w:rPr>
  </w:style>
  <w:style w:type="paragraph" w:styleId="BalloonText">
    <w:name w:val="Balloon Text"/>
    <w:basedOn w:val="Normal"/>
    <w:semiHidden/>
    <w:rsid w:val="00035F1F"/>
    <w:rPr>
      <w:rFonts w:ascii="Tahoma" w:hAnsi="Tahoma" w:cs="Tahoma"/>
      <w:sz w:val="16"/>
      <w:szCs w:val="16"/>
    </w:rPr>
  </w:style>
  <w:style w:type="paragraph" w:styleId="Header">
    <w:name w:val="header"/>
    <w:basedOn w:val="Normal"/>
    <w:rsid w:val="006A07C2"/>
    <w:pPr>
      <w:tabs>
        <w:tab w:val="center" w:pos="4153"/>
        <w:tab w:val="right" w:pos="8306"/>
      </w:tabs>
    </w:pPr>
  </w:style>
  <w:style w:type="paragraph" w:styleId="Footer">
    <w:name w:val="footer"/>
    <w:basedOn w:val="Normal"/>
    <w:rsid w:val="006A07C2"/>
    <w:pPr>
      <w:tabs>
        <w:tab w:val="center" w:pos="4153"/>
        <w:tab w:val="right" w:pos="8306"/>
      </w:tabs>
    </w:pPr>
  </w:style>
  <w:style w:type="paragraph" w:styleId="ListParagraph">
    <w:name w:val="List Paragraph"/>
    <w:basedOn w:val="Normal"/>
    <w:uiPriority w:val="34"/>
    <w:qFormat/>
    <w:rsid w:val="00043B06"/>
    <w:pPr>
      <w:ind w:left="720"/>
      <w:contextualSpacing/>
    </w:pPr>
  </w:style>
  <w:style w:type="paragraph" w:customStyle="1" w:styleId="Char">
    <w:name w:val="Char"/>
    <w:basedOn w:val="Normal"/>
    <w:rsid w:val="0063267F"/>
    <w:pPr>
      <w:spacing w:after="12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41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8D081-ED71-461A-B38B-31F636F3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632</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Trust</Company>
  <LinksUpToDate>false</LinksUpToDate>
  <CharactersWithSpaces>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MacfarlaneK</dc:creator>
  <cp:lastModifiedBy>Mossman Helen (5F7) Stockport PCT</cp:lastModifiedBy>
  <cp:revision>2</cp:revision>
  <cp:lastPrinted>2014-06-30T10:08:00Z</cp:lastPrinted>
  <dcterms:created xsi:type="dcterms:W3CDTF">2016-10-25T08:05:00Z</dcterms:created>
  <dcterms:modified xsi:type="dcterms:W3CDTF">2016-10-25T08:05:00Z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